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50F" w:rsidRPr="007A39AC" w:rsidRDefault="003751D2" w:rsidP="00647594">
      <w:pPr>
        <w:pStyle w:val="Heading1"/>
        <w:spacing w:line="257" w:lineRule="auto"/>
      </w:pPr>
      <w:r>
        <w:drawing>
          <wp:anchor distT="0" distB="0" distL="114300" distR="114300" simplePos="0" relativeHeight="251657728" behindDoc="1" locked="0" layoutInCell="1" allowOverlap="1">
            <wp:simplePos x="0" y="0"/>
            <wp:positionH relativeFrom="column">
              <wp:posOffset>5438775</wp:posOffset>
            </wp:positionH>
            <wp:positionV relativeFrom="paragraph">
              <wp:posOffset>-908685</wp:posOffset>
            </wp:positionV>
            <wp:extent cx="1219200" cy="1219200"/>
            <wp:effectExtent l="0" t="0" r="0" b="0"/>
            <wp:wrapTight wrapText="bothSides">
              <wp:wrapPolygon edited="0">
                <wp:start x="7425" y="0"/>
                <wp:lineTo x="3713" y="1688"/>
                <wp:lineTo x="338" y="4388"/>
                <wp:lineTo x="338" y="6075"/>
                <wp:lineTo x="2700" y="11475"/>
                <wp:lineTo x="2700" y="20250"/>
                <wp:lineTo x="20588" y="20250"/>
                <wp:lineTo x="21263" y="11138"/>
                <wp:lineTo x="19913" y="9113"/>
                <wp:lineTo x="17213" y="6075"/>
                <wp:lineTo x="10125" y="0"/>
                <wp:lineTo x="7425" y="0"/>
              </wp:wrapPolygon>
            </wp:wrapTight>
            <wp:docPr id="6" name="Picture 6" descr="LogoImageRGB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ImageRGB3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350F" w:rsidRPr="007A39AC">
        <w:t>Introduction</w:t>
      </w:r>
    </w:p>
    <w:p w:rsidR="00903A81" w:rsidRPr="00647594" w:rsidRDefault="00F759C6" w:rsidP="00647594">
      <w:pPr>
        <w:spacing w:line="257" w:lineRule="auto"/>
        <w:rPr>
          <w:sz w:val="24"/>
          <w:szCs w:val="24"/>
        </w:rPr>
      </w:pPr>
      <w:bookmarkStart w:id="0" w:name="_GoBack"/>
      <w:r>
        <w:rPr>
          <w:sz w:val="24"/>
          <w:szCs w:val="24"/>
        </w:rPr>
        <w:t>The Empty Homes Network</w:t>
      </w:r>
      <w:r w:rsidR="005D6828" w:rsidRPr="00647594">
        <w:rPr>
          <w:sz w:val="24"/>
          <w:szCs w:val="24"/>
        </w:rPr>
        <w:t xml:space="preserve"> welcome</w:t>
      </w:r>
      <w:r>
        <w:rPr>
          <w:sz w:val="24"/>
          <w:szCs w:val="24"/>
        </w:rPr>
        <w:t>s</w:t>
      </w:r>
      <w:r w:rsidR="005D6828" w:rsidRPr="00647594">
        <w:rPr>
          <w:sz w:val="24"/>
          <w:szCs w:val="24"/>
        </w:rPr>
        <w:t xml:space="preserve"> the work of the Housing Task Force</w:t>
      </w:r>
      <w:r>
        <w:rPr>
          <w:sz w:val="24"/>
          <w:szCs w:val="24"/>
        </w:rPr>
        <w:t>. We</w:t>
      </w:r>
      <w:r w:rsidR="005D6828" w:rsidRPr="00647594">
        <w:rPr>
          <w:sz w:val="24"/>
          <w:szCs w:val="24"/>
        </w:rPr>
        <w:t xml:space="preserve"> are grateful for the opportunity to submit our views.  </w:t>
      </w:r>
      <w:r>
        <w:rPr>
          <w:sz w:val="24"/>
          <w:szCs w:val="24"/>
        </w:rPr>
        <w:t>Representatives</w:t>
      </w:r>
      <w:r w:rsidR="00903A81" w:rsidRPr="00647594">
        <w:rPr>
          <w:sz w:val="24"/>
          <w:szCs w:val="24"/>
        </w:rPr>
        <w:t xml:space="preserve"> </w:t>
      </w:r>
      <w:r>
        <w:rPr>
          <w:sz w:val="24"/>
          <w:szCs w:val="24"/>
        </w:rPr>
        <w:t xml:space="preserve">or members </w:t>
      </w:r>
      <w:r w:rsidR="00903A81" w:rsidRPr="00647594">
        <w:rPr>
          <w:sz w:val="24"/>
          <w:szCs w:val="24"/>
        </w:rPr>
        <w:t xml:space="preserve">of the </w:t>
      </w:r>
      <w:r w:rsidR="005D6828" w:rsidRPr="00647594">
        <w:rPr>
          <w:sz w:val="24"/>
          <w:szCs w:val="24"/>
        </w:rPr>
        <w:t>E</w:t>
      </w:r>
      <w:r w:rsidR="00903A81" w:rsidRPr="00647594">
        <w:rPr>
          <w:sz w:val="24"/>
          <w:szCs w:val="24"/>
        </w:rPr>
        <w:t xml:space="preserve">mpty </w:t>
      </w:r>
      <w:r w:rsidR="005D6828" w:rsidRPr="00647594">
        <w:rPr>
          <w:sz w:val="24"/>
          <w:szCs w:val="24"/>
        </w:rPr>
        <w:t>H</w:t>
      </w:r>
      <w:r w:rsidR="00903A81" w:rsidRPr="00647594">
        <w:rPr>
          <w:sz w:val="24"/>
          <w:szCs w:val="24"/>
        </w:rPr>
        <w:t xml:space="preserve">omes </w:t>
      </w:r>
      <w:r w:rsidR="005D6828" w:rsidRPr="00647594">
        <w:rPr>
          <w:sz w:val="24"/>
          <w:szCs w:val="24"/>
        </w:rPr>
        <w:t>N</w:t>
      </w:r>
      <w:r w:rsidR="00903A81" w:rsidRPr="00647594">
        <w:rPr>
          <w:sz w:val="24"/>
          <w:szCs w:val="24"/>
        </w:rPr>
        <w:t>etwork</w:t>
      </w:r>
      <w:r w:rsidR="005D6828" w:rsidRPr="00647594">
        <w:rPr>
          <w:sz w:val="24"/>
          <w:szCs w:val="24"/>
        </w:rPr>
        <w:t xml:space="preserve"> attended </w:t>
      </w:r>
      <w:r>
        <w:rPr>
          <w:sz w:val="24"/>
          <w:szCs w:val="24"/>
        </w:rPr>
        <w:t xml:space="preserve">all of </w:t>
      </w:r>
      <w:r w:rsidR="005D6828" w:rsidRPr="00647594">
        <w:rPr>
          <w:sz w:val="24"/>
          <w:szCs w:val="24"/>
        </w:rPr>
        <w:t>the round-table meetings in the work-stream related to making best use of existing stock.</w:t>
      </w:r>
      <w:r w:rsidR="00903A81" w:rsidRPr="00647594">
        <w:rPr>
          <w:sz w:val="24"/>
          <w:szCs w:val="24"/>
        </w:rPr>
        <w:t xml:space="preserve">   </w:t>
      </w:r>
    </w:p>
    <w:p w:rsidR="003748E2" w:rsidRPr="00647594" w:rsidRDefault="00903A81" w:rsidP="00647594">
      <w:pPr>
        <w:spacing w:line="257" w:lineRule="auto"/>
        <w:rPr>
          <w:sz w:val="24"/>
        </w:rPr>
      </w:pPr>
      <w:r w:rsidRPr="00647594">
        <w:rPr>
          <w:sz w:val="24"/>
        </w:rPr>
        <w:t>As a national organisation we have sought to reflect the bigger pict</w:t>
      </w:r>
      <w:r w:rsidR="00E924BD" w:rsidRPr="00647594">
        <w:rPr>
          <w:sz w:val="24"/>
        </w:rPr>
        <w:t xml:space="preserve">ure around the issues that </w:t>
      </w:r>
      <w:r w:rsidRPr="00647594">
        <w:rPr>
          <w:sz w:val="24"/>
        </w:rPr>
        <w:t xml:space="preserve">the APPG has wanted to address. This necessitates </w:t>
      </w:r>
      <w:proofErr w:type="gramStart"/>
      <w:r w:rsidRPr="00647594">
        <w:rPr>
          <w:sz w:val="24"/>
        </w:rPr>
        <w:t>making  some</w:t>
      </w:r>
      <w:proofErr w:type="gramEnd"/>
      <w:r w:rsidRPr="00647594">
        <w:rPr>
          <w:sz w:val="24"/>
        </w:rPr>
        <w:t xml:space="preserve"> comments with a strategic orientation</w:t>
      </w:r>
      <w:r w:rsidR="00E924BD" w:rsidRPr="00647594">
        <w:rPr>
          <w:sz w:val="24"/>
        </w:rPr>
        <w:t xml:space="preserve"> in addition to answering the specific questions posed at the round-table meetings.</w:t>
      </w:r>
    </w:p>
    <w:bookmarkEnd w:id="0"/>
    <w:p w:rsidR="00903A81" w:rsidRDefault="00FB6097" w:rsidP="00647594">
      <w:pPr>
        <w:pStyle w:val="Heading1"/>
        <w:spacing w:line="257" w:lineRule="auto"/>
      </w:pPr>
      <w:r>
        <w:t>Principles</w:t>
      </w:r>
    </w:p>
    <w:p w:rsidR="00903A81" w:rsidRPr="00647594" w:rsidRDefault="00FB4B58" w:rsidP="00647594">
      <w:pPr>
        <w:spacing w:line="257" w:lineRule="auto"/>
        <w:rPr>
          <w:sz w:val="24"/>
        </w:rPr>
      </w:pPr>
      <w:r w:rsidRPr="00647594">
        <w:rPr>
          <w:b/>
          <w:sz w:val="24"/>
        </w:rPr>
        <w:t>“No stone un</w:t>
      </w:r>
      <w:r w:rsidR="00903A81" w:rsidRPr="00647594">
        <w:rPr>
          <w:b/>
          <w:sz w:val="24"/>
        </w:rPr>
        <w:t>turned”</w:t>
      </w:r>
      <w:r w:rsidRPr="00647594">
        <w:rPr>
          <w:sz w:val="24"/>
        </w:rPr>
        <w:t xml:space="preserve">. </w:t>
      </w:r>
      <w:r w:rsidR="00160743" w:rsidRPr="00647594">
        <w:rPr>
          <w:sz w:val="24"/>
        </w:rPr>
        <w:t xml:space="preserve">Re-occupation of </w:t>
      </w:r>
      <w:r w:rsidRPr="00647594">
        <w:rPr>
          <w:sz w:val="24"/>
        </w:rPr>
        <w:t xml:space="preserve">Empty homes cannot solve </w:t>
      </w:r>
      <w:r w:rsidR="00160743" w:rsidRPr="00647594">
        <w:rPr>
          <w:sz w:val="24"/>
        </w:rPr>
        <w:t>our</w:t>
      </w:r>
      <w:r w:rsidRPr="00647594">
        <w:rPr>
          <w:sz w:val="24"/>
        </w:rPr>
        <w:t xml:space="preserve"> housing problems, but </w:t>
      </w:r>
      <w:r w:rsidR="00160743" w:rsidRPr="00647594">
        <w:rPr>
          <w:sz w:val="24"/>
        </w:rPr>
        <w:t xml:space="preserve">so acute are those </w:t>
      </w:r>
      <w:r w:rsidRPr="00647594">
        <w:rPr>
          <w:sz w:val="24"/>
        </w:rPr>
        <w:t>problems that we should leave no stone unturned</w:t>
      </w:r>
      <w:r w:rsidR="00160743" w:rsidRPr="00647594">
        <w:rPr>
          <w:sz w:val="24"/>
        </w:rPr>
        <w:t xml:space="preserve"> </w:t>
      </w:r>
      <w:proofErr w:type="gramStart"/>
      <w:r w:rsidR="00160743" w:rsidRPr="00647594">
        <w:rPr>
          <w:sz w:val="24"/>
        </w:rPr>
        <w:t xml:space="preserve">in  </w:t>
      </w:r>
      <w:r w:rsidRPr="00647594">
        <w:rPr>
          <w:sz w:val="24"/>
        </w:rPr>
        <w:t>our</w:t>
      </w:r>
      <w:proofErr w:type="gramEnd"/>
      <w:r w:rsidRPr="00647594">
        <w:rPr>
          <w:sz w:val="24"/>
        </w:rPr>
        <w:t xml:space="preserve"> efforts to </w:t>
      </w:r>
      <w:r w:rsidR="00160743" w:rsidRPr="00647594">
        <w:rPr>
          <w:sz w:val="24"/>
        </w:rPr>
        <w:t xml:space="preserve">address them. </w:t>
      </w:r>
      <w:r w:rsidR="00160743" w:rsidRPr="00647594">
        <w:rPr>
          <w:b/>
          <w:sz w:val="24"/>
        </w:rPr>
        <w:t>Our</w:t>
      </w:r>
      <w:r w:rsidRPr="00647594">
        <w:rPr>
          <w:b/>
          <w:sz w:val="24"/>
        </w:rPr>
        <w:t xml:space="preserve"> 200,000+ long-term empty homes </w:t>
      </w:r>
      <w:r w:rsidR="00160743" w:rsidRPr="00647594">
        <w:rPr>
          <w:b/>
          <w:sz w:val="24"/>
        </w:rPr>
        <w:t xml:space="preserve">thus offer </w:t>
      </w:r>
      <w:r w:rsidRPr="00647594">
        <w:rPr>
          <w:b/>
          <w:sz w:val="24"/>
        </w:rPr>
        <w:t xml:space="preserve">a </w:t>
      </w:r>
      <w:r w:rsidR="00160743" w:rsidRPr="00647594">
        <w:rPr>
          <w:b/>
          <w:sz w:val="24"/>
        </w:rPr>
        <w:t xml:space="preserve">vital </w:t>
      </w:r>
      <w:r w:rsidRPr="00647594">
        <w:rPr>
          <w:b/>
          <w:sz w:val="24"/>
        </w:rPr>
        <w:t>resource</w:t>
      </w:r>
      <w:r w:rsidRPr="00647594">
        <w:rPr>
          <w:sz w:val="24"/>
        </w:rPr>
        <w:t xml:space="preserve">.  </w:t>
      </w:r>
      <w:r w:rsidR="00C11908" w:rsidRPr="00647594">
        <w:rPr>
          <w:sz w:val="24"/>
        </w:rPr>
        <w:t xml:space="preserve">And if </w:t>
      </w:r>
      <w:r w:rsidRPr="00647594">
        <w:rPr>
          <w:sz w:val="24"/>
        </w:rPr>
        <w:t xml:space="preserve">efforts to bring empties back into use are </w:t>
      </w:r>
      <w:r w:rsidR="00C11908" w:rsidRPr="00647594">
        <w:rPr>
          <w:sz w:val="24"/>
        </w:rPr>
        <w:t>seen as insufficient</w:t>
      </w:r>
      <w:r w:rsidRPr="00647594">
        <w:rPr>
          <w:sz w:val="24"/>
        </w:rPr>
        <w:t xml:space="preserve">, nimbies always have an excuse to resist essential new house-building. </w:t>
      </w:r>
      <w:r w:rsidR="0000451C" w:rsidRPr="00647594">
        <w:rPr>
          <w:sz w:val="24"/>
        </w:rPr>
        <w:t xml:space="preserve"> </w:t>
      </w:r>
      <w:r w:rsidR="00647594">
        <w:rPr>
          <w:sz w:val="24"/>
        </w:rPr>
        <w:t>More can and should be done about empty homes.</w:t>
      </w:r>
    </w:p>
    <w:p w:rsidR="00E9444A" w:rsidRPr="00647594" w:rsidRDefault="00FB4B58" w:rsidP="00647594">
      <w:pPr>
        <w:spacing w:line="257" w:lineRule="auto"/>
        <w:rPr>
          <w:sz w:val="24"/>
        </w:rPr>
      </w:pPr>
      <w:r w:rsidRPr="00647594">
        <w:rPr>
          <w:b/>
          <w:sz w:val="24"/>
        </w:rPr>
        <w:t>Empty homes are a national issue</w:t>
      </w:r>
      <w:r w:rsidRPr="00647594">
        <w:rPr>
          <w:sz w:val="24"/>
        </w:rPr>
        <w:t xml:space="preserve">. Every local authority has housing problems. Where there a fewer empties, there is normally severe unmet need, so bringing empties back into use is so much the more important.  </w:t>
      </w:r>
      <w:r w:rsidR="00AD7A6B" w:rsidRPr="00647594">
        <w:rPr>
          <w:sz w:val="24"/>
        </w:rPr>
        <w:t>A homeless family</w:t>
      </w:r>
      <w:r w:rsidR="00647594">
        <w:rPr>
          <w:sz w:val="24"/>
        </w:rPr>
        <w:t xml:space="preserve"> with children </w:t>
      </w:r>
      <w:r w:rsidR="00AD7A6B" w:rsidRPr="00647594">
        <w:rPr>
          <w:sz w:val="24"/>
        </w:rPr>
        <w:t xml:space="preserve">living in a B&amp;B </w:t>
      </w:r>
      <w:r w:rsidR="00A60D19" w:rsidRPr="00647594">
        <w:rPr>
          <w:sz w:val="24"/>
        </w:rPr>
        <w:t xml:space="preserve">across from </w:t>
      </w:r>
      <w:r w:rsidR="00E9444A" w:rsidRPr="00647594">
        <w:rPr>
          <w:sz w:val="24"/>
        </w:rPr>
        <w:t>an empty home,</w:t>
      </w:r>
      <w:r w:rsidR="00AD7A6B" w:rsidRPr="00647594">
        <w:rPr>
          <w:sz w:val="24"/>
        </w:rPr>
        <w:t xml:space="preserve"> </w:t>
      </w:r>
      <w:r w:rsidR="00647594">
        <w:rPr>
          <w:sz w:val="24"/>
        </w:rPr>
        <w:t xml:space="preserve">or </w:t>
      </w:r>
      <w:r w:rsidR="00AD7A6B" w:rsidRPr="00647594">
        <w:rPr>
          <w:sz w:val="24"/>
        </w:rPr>
        <w:t xml:space="preserve">a family </w:t>
      </w:r>
      <w:r w:rsidR="00E9444A" w:rsidRPr="00647594">
        <w:rPr>
          <w:sz w:val="24"/>
        </w:rPr>
        <w:t xml:space="preserve">blighted by </w:t>
      </w:r>
      <w:r w:rsidR="00731266" w:rsidRPr="00647594">
        <w:rPr>
          <w:sz w:val="24"/>
        </w:rPr>
        <w:t xml:space="preserve">the </w:t>
      </w:r>
      <w:r w:rsidR="00AD7A6B" w:rsidRPr="00647594">
        <w:rPr>
          <w:sz w:val="24"/>
        </w:rPr>
        <w:t>d</w:t>
      </w:r>
      <w:r w:rsidR="00AC633A" w:rsidRPr="00647594">
        <w:rPr>
          <w:sz w:val="24"/>
        </w:rPr>
        <w:t>i</w:t>
      </w:r>
      <w:r w:rsidR="00AD7A6B" w:rsidRPr="00647594">
        <w:rPr>
          <w:sz w:val="24"/>
        </w:rPr>
        <w:t xml:space="preserve">lapidated </w:t>
      </w:r>
      <w:r w:rsidR="00731266" w:rsidRPr="00647594">
        <w:rPr>
          <w:sz w:val="24"/>
        </w:rPr>
        <w:t>empty next door</w:t>
      </w:r>
      <w:r w:rsidR="00E9444A" w:rsidRPr="00647594">
        <w:rPr>
          <w:sz w:val="24"/>
        </w:rPr>
        <w:t>, face the same issue</w:t>
      </w:r>
      <w:r w:rsidR="002F5A0A" w:rsidRPr="00647594">
        <w:rPr>
          <w:sz w:val="24"/>
        </w:rPr>
        <w:t xml:space="preserve"> whether they live in a so-called </w:t>
      </w:r>
      <w:r w:rsidR="00160743" w:rsidRPr="00647594">
        <w:rPr>
          <w:sz w:val="24"/>
        </w:rPr>
        <w:t>‘</w:t>
      </w:r>
      <w:r w:rsidR="002F5A0A" w:rsidRPr="00647594">
        <w:rPr>
          <w:sz w:val="24"/>
        </w:rPr>
        <w:t>cluster</w:t>
      </w:r>
      <w:r w:rsidR="00160743" w:rsidRPr="00647594">
        <w:rPr>
          <w:sz w:val="24"/>
        </w:rPr>
        <w:t>’</w:t>
      </w:r>
      <w:r w:rsidR="002F5A0A" w:rsidRPr="00647594">
        <w:rPr>
          <w:sz w:val="24"/>
        </w:rPr>
        <w:t xml:space="preserve"> or not.</w:t>
      </w:r>
      <w:r w:rsidR="003D2117" w:rsidRPr="00647594">
        <w:rPr>
          <w:sz w:val="24"/>
        </w:rPr>
        <w:t xml:space="preserve"> </w:t>
      </w:r>
      <w:r w:rsidR="00AD7A6B" w:rsidRPr="00647594">
        <w:rPr>
          <w:sz w:val="24"/>
        </w:rPr>
        <w:t xml:space="preserve"> </w:t>
      </w:r>
      <w:r w:rsidR="009E5BF3" w:rsidRPr="00647594">
        <w:rPr>
          <w:sz w:val="24"/>
        </w:rPr>
        <w:t>The significance of</w:t>
      </w:r>
      <w:r w:rsidR="00AD7A6B" w:rsidRPr="00647594">
        <w:rPr>
          <w:sz w:val="24"/>
        </w:rPr>
        <w:t xml:space="preserve"> local</w:t>
      </w:r>
      <w:r w:rsidR="00E93B45">
        <w:rPr>
          <w:sz w:val="24"/>
        </w:rPr>
        <w:t>ised,</w:t>
      </w:r>
      <w:r w:rsidR="00AD7A6B" w:rsidRPr="00647594">
        <w:rPr>
          <w:sz w:val="24"/>
        </w:rPr>
        <w:t xml:space="preserve"> </w:t>
      </w:r>
      <w:r w:rsidR="00C11908" w:rsidRPr="00647594">
        <w:rPr>
          <w:sz w:val="24"/>
        </w:rPr>
        <w:t xml:space="preserve">metropolitan </w:t>
      </w:r>
      <w:r w:rsidR="00AD7A6B" w:rsidRPr="00647594">
        <w:rPr>
          <w:sz w:val="24"/>
        </w:rPr>
        <w:t>issues such as high-value buy-to-leave</w:t>
      </w:r>
      <w:r w:rsidR="009E5BF3" w:rsidRPr="00647594">
        <w:rPr>
          <w:sz w:val="24"/>
        </w:rPr>
        <w:t xml:space="preserve"> should not be inflated but seen </w:t>
      </w:r>
      <w:r w:rsidR="00A60D19" w:rsidRPr="00647594">
        <w:rPr>
          <w:sz w:val="24"/>
        </w:rPr>
        <w:t>in proper perspective</w:t>
      </w:r>
      <w:r w:rsidR="009E5BF3" w:rsidRPr="00647594">
        <w:rPr>
          <w:sz w:val="24"/>
        </w:rPr>
        <w:t>.</w:t>
      </w:r>
      <w:r w:rsidR="00A60D19" w:rsidRPr="00647594">
        <w:rPr>
          <w:sz w:val="24"/>
        </w:rPr>
        <w:t xml:space="preserve"> </w:t>
      </w:r>
    </w:p>
    <w:p w:rsidR="003D2117" w:rsidRPr="00647594" w:rsidRDefault="003D2117" w:rsidP="00647594">
      <w:pPr>
        <w:spacing w:line="257" w:lineRule="auto"/>
        <w:rPr>
          <w:sz w:val="24"/>
        </w:rPr>
      </w:pPr>
      <w:r w:rsidRPr="00647594">
        <w:rPr>
          <w:b/>
          <w:sz w:val="24"/>
        </w:rPr>
        <w:t>Tackling empty homes is good value</w:t>
      </w:r>
      <w:r w:rsidRPr="00647594">
        <w:rPr>
          <w:sz w:val="24"/>
        </w:rPr>
        <w:t xml:space="preserve">. Tackling empty homes delivers housing, improves neighbourhoods, boosts local and national economies, and provides local employment and training opportunities.  But because it unlocks the value tied up in empty homes, it can also be </w:t>
      </w:r>
      <w:r w:rsidR="00C11908" w:rsidRPr="00647594">
        <w:rPr>
          <w:sz w:val="24"/>
        </w:rPr>
        <w:t xml:space="preserve">a </w:t>
      </w:r>
      <w:r w:rsidRPr="00647594">
        <w:rPr>
          <w:sz w:val="24"/>
        </w:rPr>
        <w:t xml:space="preserve">relatively cheap </w:t>
      </w:r>
      <w:r w:rsidR="00C11908" w:rsidRPr="00647594">
        <w:rPr>
          <w:sz w:val="24"/>
        </w:rPr>
        <w:t>option</w:t>
      </w:r>
      <w:r w:rsidR="00160743" w:rsidRPr="00647594">
        <w:rPr>
          <w:sz w:val="24"/>
        </w:rPr>
        <w:t xml:space="preserve"> </w:t>
      </w:r>
      <w:r w:rsidRPr="00647594">
        <w:rPr>
          <w:sz w:val="24"/>
        </w:rPr>
        <w:t>compared to new-build.</w:t>
      </w:r>
      <w:r w:rsidR="002F5A0A" w:rsidRPr="00647594">
        <w:rPr>
          <w:sz w:val="24"/>
        </w:rPr>
        <w:t>, as evidenced by the success of loan schemes.</w:t>
      </w:r>
      <w:r w:rsidR="00E93B45">
        <w:rPr>
          <w:rStyle w:val="EndnoteReference"/>
          <w:sz w:val="24"/>
        </w:rPr>
        <w:endnoteReference w:id="1"/>
      </w:r>
    </w:p>
    <w:p w:rsidR="00A60D19" w:rsidRPr="00647594" w:rsidRDefault="00731266" w:rsidP="00647594">
      <w:pPr>
        <w:spacing w:line="257" w:lineRule="auto"/>
        <w:rPr>
          <w:sz w:val="24"/>
        </w:rPr>
      </w:pPr>
      <w:r w:rsidRPr="00647594">
        <w:rPr>
          <w:b/>
          <w:sz w:val="24"/>
        </w:rPr>
        <w:t>Local responses need support</w:t>
      </w:r>
      <w:r w:rsidRPr="00647594">
        <w:rPr>
          <w:sz w:val="24"/>
        </w:rPr>
        <w:t xml:space="preserve">. Local authorities can and do take the lead on tackling empty homes in their area. But there is good evidence </w:t>
      </w:r>
      <w:r w:rsidR="00A60D19" w:rsidRPr="00647594">
        <w:rPr>
          <w:sz w:val="24"/>
        </w:rPr>
        <w:t>(Wales, Scotland,</w:t>
      </w:r>
      <w:r w:rsidRPr="00647594">
        <w:rPr>
          <w:sz w:val="24"/>
        </w:rPr>
        <w:t xml:space="preserve"> Kent</w:t>
      </w:r>
      <w:r w:rsidR="00A60D19" w:rsidRPr="00647594">
        <w:rPr>
          <w:sz w:val="24"/>
        </w:rPr>
        <w:t>)</w:t>
      </w:r>
      <w:r w:rsidR="001F7CE1">
        <w:rPr>
          <w:rStyle w:val="EndnoteReference"/>
          <w:sz w:val="24"/>
        </w:rPr>
        <w:endnoteReference w:id="2"/>
      </w:r>
      <w:r w:rsidRPr="00647594">
        <w:rPr>
          <w:sz w:val="24"/>
        </w:rPr>
        <w:t xml:space="preserve"> that local responses receive huge benefits from wider partnerships that impart expertise, energy and sustainability to local initiatives</w:t>
      </w:r>
      <w:r w:rsidR="00A60D19" w:rsidRPr="00647594">
        <w:rPr>
          <w:sz w:val="24"/>
        </w:rPr>
        <w:t xml:space="preserve"> and avoid re-inventing the wheel</w:t>
      </w:r>
      <w:r w:rsidRPr="00647594">
        <w:rPr>
          <w:sz w:val="24"/>
        </w:rPr>
        <w:t>.</w:t>
      </w:r>
      <w:r w:rsidR="00A60D19" w:rsidRPr="00647594">
        <w:rPr>
          <w:sz w:val="24"/>
        </w:rPr>
        <w:t xml:space="preserve">  </w:t>
      </w:r>
    </w:p>
    <w:p w:rsidR="004D2B21" w:rsidRPr="00647594" w:rsidRDefault="00EC16D4" w:rsidP="00647594">
      <w:pPr>
        <w:spacing w:line="257" w:lineRule="auto"/>
        <w:rPr>
          <w:sz w:val="24"/>
        </w:rPr>
      </w:pPr>
      <w:r w:rsidRPr="00647594">
        <w:rPr>
          <w:b/>
          <w:sz w:val="24"/>
        </w:rPr>
        <w:t xml:space="preserve">Generic solutions are </w:t>
      </w:r>
      <w:proofErr w:type="gramStart"/>
      <w:r w:rsidRPr="00647594">
        <w:rPr>
          <w:b/>
          <w:sz w:val="24"/>
        </w:rPr>
        <w:t>key</w:t>
      </w:r>
      <w:proofErr w:type="gramEnd"/>
      <w:r w:rsidRPr="00647594">
        <w:rPr>
          <w:sz w:val="24"/>
        </w:rPr>
        <w:t xml:space="preserve">. Generic solutions such as loan schemes, enforcement activities, and the provision of guidance and advice </w:t>
      </w:r>
      <w:r w:rsidR="00C11908" w:rsidRPr="00647594">
        <w:rPr>
          <w:sz w:val="24"/>
        </w:rPr>
        <w:t>underpin</w:t>
      </w:r>
      <w:r w:rsidRPr="00647594">
        <w:rPr>
          <w:sz w:val="24"/>
        </w:rPr>
        <w:t xml:space="preserve"> </w:t>
      </w:r>
      <w:r w:rsidRPr="00C85A54">
        <w:rPr>
          <w:i/>
          <w:sz w:val="24"/>
        </w:rPr>
        <w:t>all</w:t>
      </w:r>
      <w:r w:rsidRPr="00647594">
        <w:rPr>
          <w:sz w:val="24"/>
        </w:rPr>
        <w:t xml:space="preserve"> successful interventions.  Priority should be given to building the necessary skill-base and delivery framework across a geographical area as a precondition for any more narrowly targeted interventions that are also </w:t>
      </w:r>
      <w:r w:rsidR="0071680F">
        <w:rPr>
          <w:sz w:val="24"/>
        </w:rPr>
        <w:t>needed.</w:t>
      </w:r>
      <w:r w:rsidR="0071680F">
        <w:rPr>
          <w:rStyle w:val="EndnoteReference"/>
          <w:sz w:val="24"/>
        </w:rPr>
        <w:endnoteReference w:id="3"/>
      </w:r>
    </w:p>
    <w:p w:rsidR="00C11908" w:rsidRPr="00647594" w:rsidRDefault="00C11908" w:rsidP="00647594">
      <w:pPr>
        <w:spacing w:after="0" w:line="257" w:lineRule="auto"/>
        <w:rPr>
          <w:sz w:val="24"/>
        </w:rPr>
      </w:pPr>
      <w:r w:rsidRPr="00647594">
        <w:rPr>
          <w:b/>
          <w:sz w:val="24"/>
        </w:rPr>
        <w:t>Specialist skills are needed</w:t>
      </w:r>
      <w:r w:rsidRPr="00647594">
        <w:rPr>
          <w:sz w:val="24"/>
        </w:rPr>
        <w:t>.</w:t>
      </w:r>
      <w:r w:rsidRPr="00647594">
        <w:rPr>
          <w:b/>
          <w:sz w:val="24"/>
        </w:rPr>
        <w:t xml:space="preserve"> </w:t>
      </w:r>
      <w:r w:rsidRPr="00647594">
        <w:rPr>
          <w:sz w:val="24"/>
        </w:rPr>
        <w:t xml:space="preserve">The reasons for homes lying empty can be complex and can require a range of skills to be brought into play from skilled negotiating to careful selection use of appropriate enforcement measures.  We believe the best results are achieved </w:t>
      </w:r>
      <w:r w:rsidR="0071680F">
        <w:rPr>
          <w:sz w:val="24"/>
        </w:rPr>
        <w:t>where there are</w:t>
      </w:r>
      <w:r w:rsidR="00647594" w:rsidRPr="00647594">
        <w:rPr>
          <w:sz w:val="24"/>
        </w:rPr>
        <w:t xml:space="preserve"> specialist empty homes practitioners</w:t>
      </w:r>
      <w:r w:rsidRPr="00647594">
        <w:rPr>
          <w:sz w:val="24"/>
        </w:rPr>
        <w:t>.</w:t>
      </w:r>
    </w:p>
    <w:p w:rsidR="00A5594F" w:rsidRDefault="006B4839" w:rsidP="00647594">
      <w:pPr>
        <w:pStyle w:val="Heading1"/>
        <w:pageBreakBefore/>
        <w:spacing w:line="257" w:lineRule="auto"/>
      </w:pPr>
      <w:r>
        <w:lastRenderedPageBreak/>
        <w:t>Clusters of empties</w:t>
      </w:r>
    </w:p>
    <w:p w:rsidR="00BE498E" w:rsidRPr="00647594" w:rsidRDefault="00D46400" w:rsidP="00647594">
      <w:pPr>
        <w:pStyle w:val="Question"/>
        <w:spacing w:line="257" w:lineRule="auto"/>
        <w:rPr>
          <w:sz w:val="24"/>
        </w:rPr>
      </w:pPr>
      <w:r w:rsidRPr="00647594">
        <w:rPr>
          <w:sz w:val="24"/>
        </w:rPr>
        <w:t xml:space="preserve">Q1 </w:t>
      </w:r>
      <w:proofErr w:type="gramStart"/>
      <w:r w:rsidR="00BE498E" w:rsidRPr="00647594">
        <w:rPr>
          <w:sz w:val="24"/>
        </w:rPr>
        <w:t>What</w:t>
      </w:r>
      <w:proofErr w:type="gramEnd"/>
      <w:r w:rsidR="00BE498E" w:rsidRPr="00647594">
        <w:rPr>
          <w:sz w:val="24"/>
        </w:rPr>
        <w:t xml:space="preserve"> factors are driving higher levels of empty homes in some housing markets?</w:t>
      </w:r>
    </w:p>
    <w:p w:rsidR="009455FD" w:rsidRPr="00647594" w:rsidRDefault="00BE498E" w:rsidP="00647594">
      <w:pPr>
        <w:spacing w:line="257" w:lineRule="auto"/>
        <w:rPr>
          <w:sz w:val="24"/>
        </w:rPr>
      </w:pPr>
      <w:r w:rsidRPr="00647594">
        <w:rPr>
          <w:sz w:val="24"/>
        </w:rPr>
        <w:t>High levels of empty homes typically reflect a vicious circle of underlying low demand</w:t>
      </w:r>
      <w:r w:rsidR="009455FD" w:rsidRPr="00647594">
        <w:rPr>
          <w:sz w:val="24"/>
        </w:rPr>
        <w:t xml:space="preserve"> for particular types of property in particular locations</w:t>
      </w:r>
      <w:r w:rsidRPr="00647594">
        <w:rPr>
          <w:sz w:val="24"/>
        </w:rPr>
        <w:t xml:space="preserve">, negative equity (as a result of falling prices) and social problems.  </w:t>
      </w:r>
      <w:r w:rsidR="005810F3" w:rsidRPr="00647594">
        <w:rPr>
          <w:sz w:val="24"/>
        </w:rPr>
        <w:t xml:space="preserve">These factors are interlocked. </w:t>
      </w:r>
      <w:r w:rsidR="00160743" w:rsidRPr="00647594">
        <w:rPr>
          <w:sz w:val="24"/>
        </w:rPr>
        <w:t>They easily</w:t>
      </w:r>
      <w:r w:rsidR="00144D16" w:rsidRPr="00647594">
        <w:rPr>
          <w:sz w:val="24"/>
        </w:rPr>
        <w:t xml:space="preserve"> combine to </w:t>
      </w:r>
      <w:r w:rsidR="009455FD" w:rsidRPr="00647594">
        <w:rPr>
          <w:sz w:val="24"/>
        </w:rPr>
        <w:t>engender practical difficulties for</w:t>
      </w:r>
      <w:r w:rsidR="00144D16" w:rsidRPr="00647594">
        <w:rPr>
          <w:sz w:val="24"/>
        </w:rPr>
        <w:t xml:space="preserve"> owners </w:t>
      </w:r>
      <w:r w:rsidR="009455FD" w:rsidRPr="00647594">
        <w:rPr>
          <w:sz w:val="24"/>
        </w:rPr>
        <w:t xml:space="preserve">wanting </w:t>
      </w:r>
      <w:r w:rsidR="00144D16" w:rsidRPr="00647594">
        <w:rPr>
          <w:sz w:val="24"/>
        </w:rPr>
        <w:t>to refurbish, sell or let their homes</w:t>
      </w:r>
      <w:r w:rsidR="009455FD" w:rsidRPr="00647594">
        <w:rPr>
          <w:sz w:val="24"/>
        </w:rPr>
        <w:t>. The more obvious impediments would include problems in securing finance for refurbishment to bring h</w:t>
      </w:r>
      <w:r w:rsidR="00160743" w:rsidRPr="00647594">
        <w:rPr>
          <w:sz w:val="24"/>
        </w:rPr>
        <w:t xml:space="preserve">omes to a habitable condition; </w:t>
      </w:r>
      <w:r w:rsidR="009455FD" w:rsidRPr="00647594">
        <w:rPr>
          <w:sz w:val="24"/>
        </w:rPr>
        <w:t xml:space="preserve">difficulties selling because of a shortage of potential buyers able to secure mortgages or </w:t>
      </w:r>
      <w:r w:rsidR="004D36DD" w:rsidRPr="00647594">
        <w:rPr>
          <w:sz w:val="24"/>
        </w:rPr>
        <w:t>because the</w:t>
      </w:r>
      <w:r w:rsidR="00160743" w:rsidRPr="00647594">
        <w:rPr>
          <w:sz w:val="24"/>
        </w:rPr>
        <w:t>ir</w:t>
      </w:r>
      <w:r w:rsidR="004D36DD" w:rsidRPr="00647594">
        <w:rPr>
          <w:sz w:val="24"/>
        </w:rPr>
        <w:t xml:space="preserve"> condition renders home</w:t>
      </w:r>
      <w:r w:rsidR="00160743" w:rsidRPr="00647594">
        <w:rPr>
          <w:sz w:val="24"/>
        </w:rPr>
        <w:t>s</w:t>
      </w:r>
      <w:r w:rsidR="004D36DD" w:rsidRPr="00647594">
        <w:rPr>
          <w:sz w:val="24"/>
        </w:rPr>
        <w:t xml:space="preserve"> </w:t>
      </w:r>
      <w:proofErr w:type="spellStart"/>
      <w:r w:rsidR="004D36DD" w:rsidRPr="00647594">
        <w:rPr>
          <w:sz w:val="24"/>
        </w:rPr>
        <w:t>unmortgageable</w:t>
      </w:r>
      <w:proofErr w:type="spellEnd"/>
      <w:r w:rsidR="004D36DD" w:rsidRPr="00647594">
        <w:rPr>
          <w:sz w:val="24"/>
        </w:rPr>
        <w:t xml:space="preserve">; or an unwillingness </w:t>
      </w:r>
      <w:r w:rsidR="005810F3" w:rsidRPr="00647594">
        <w:rPr>
          <w:sz w:val="24"/>
        </w:rPr>
        <w:t xml:space="preserve">on the part of the owner to sell if this would </w:t>
      </w:r>
      <w:r w:rsidR="004D36DD" w:rsidRPr="00647594">
        <w:rPr>
          <w:sz w:val="24"/>
        </w:rPr>
        <w:t>crystallise losses when the home is in negative equity.</w:t>
      </w:r>
      <w:r w:rsidR="009455FD" w:rsidRPr="00647594">
        <w:rPr>
          <w:sz w:val="24"/>
        </w:rPr>
        <w:t xml:space="preserve"> </w:t>
      </w:r>
    </w:p>
    <w:p w:rsidR="00647594" w:rsidRDefault="00647594" w:rsidP="00647594">
      <w:pPr>
        <w:pStyle w:val="Question"/>
        <w:spacing w:line="257" w:lineRule="auto"/>
        <w:rPr>
          <w:sz w:val="24"/>
        </w:rPr>
      </w:pPr>
    </w:p>
    <w:p w:rsidR="00BE498E" w:rsidRPr="00647594" w:rsidRDefault="00D46400" w:rsidP="00647594">
      <w:pPr>
        <w:pStyle w:val="Question"/>
        <w:spacing w:line="257" w:lineRule="auto"/>
        <w:rPr>
          <w:sz w:val="24"/>
        </w:rPr>
      </w:pPr>
      <w:r w:rsidRPr="00647594">
        <w:rPr>
          <w:sz w:val="24"/>
        </w:rPr>
        <w:t xml:space="preserve">Q2 </w:t>
      </w:r>
      <w:proofErr w:type="gramStart"/>
      <w:r w:rsidR="00BE498E" w:rsidRPr="00647594">
        <w:rPr>
          <w:sz w:val="24"/>
        </w:rPr>
        <w:t>What</w:t>
      </w:r>
      <w:proofErr w:type="gramEnd"/>
      <w:r w:rsidR="00BE498E" w:rsidRPr="00647594">
        <w:rPr>
          <w:sz w:val="24"/>
        </w:rPr>
        <w:t xml:space="preserve"> is the potential to meet housing needs from these properties? </w:t>
      </w:r>
    </w:p>
    <w:p w:rsidR="009455FD" w:rsidRPr="00647594" w:rsidRDefault="004D36DD" w:rsidP="00647594">
      <w:pPr>
        <w:spacing w:line="257" w:lineRule="auto"/>
        <w:rPr>
          <w:sz w:val="24"/>
        </w:rPr>
      </w:pPr>
      <w:r w:rsidRPr="00647594">
        <w:rPr>
          <w:sz w:val="24"/>
        </w:rPr>
        <w:t xml:space="preserve">Although </w:t>
      </w:r>
      <w:r w:rsidR="005810F3" w:rsidRPr="00647594">
        <w:rPr>
          <w:sz w:val="24"/>
        </w:rPr>
        <w:t xml:space="preserve">we accept that </w:t>
      </w:r>
      <w:r w:rsidRPr="00647594">
        <w:rPr>
          <w:sz w:val="24"/>
        </w:rPr>
        <w:t>there are some areas where demand is irredeemably suppressed, our view is that these are few and far between</w:t>
      </w:r>
      <w:r w:rsidR="00E256C7" w:rsidRPr="00647594">
        <w:rPr>
          <w:sz w:val="24"/>
        </w:rPr>
        <w:t>.  W</w:t>
      </w:r>
      <w:r w:rsidRPr="00647594">
        <w:rPr>
          <w:sz w:val="24"/>
        </w:rPr>
        <w:t xml:space="preserve">ith sufficient attention to </w:t>
      </w:r>
      <w:r w:rsidR="00E256C7" w:rsidRPr="00647594">
        <w:rPr>
          <w:sz w:val="24"/>
        </w:rPr>
        <w:t>wider</w:t>
      </w:r>
      <w:r w:rsidRPr="00647594">
        <w:rPr>
          <w:sz w:val="24"/>
        </w:rPr>
        <w:t xml:space="preserve"> regeneration </w:t>
      </w:r>
      <w:r w:rsidR="00E256C7" w:rsidRPr="00647594">
        <w:rPr>
          <w:sz w:val="24"/>
        </w:rPr>
        <w:t>issues</w:t>
      </w:r>
      <w:r w:rsidRPr="00647594">
        <w:rPr>
          <w:sz w:val="24"/>
        </w:rPr>
        <w:t xml:space="preserve"> </w:t>
      </w:r>
      <w:r w:rsidR="00E256C7" w:rsidRPr="00647594">
        <w:rPr>
          <w:sz w:val="24"/>
        </w:rPr>
        <w:t xml:space="preserve">– which may, but need not, involve addressing issues with employment or infrastructure – </w:t>
      </w:r>
      <w:r w:rsidR="005810F3" w:rsidRPr="00647594">
        <w:rPr>
          <w:sz w:val="24"/>
        </w:rPr>
        <w:t xml:space="preserve">and tenure mix </w:t>
      </w:r>
      <w:r w:rsidRPr="00647594">
        <w:rPr>
          <w:sz w:val="24"/>
        </w:rPr>
        <w:t>clusters of empties can make a</w:t>
      </w:r>
      <w:r w:rsidR="005810F3" w:rsidRPr="00647594">
        <w:rPr>
          <w:sz w:val="24"/>
        </w:rPr>
        <w:t>n important</w:t>
      </w:r>
      <w:r w:rsidRPr="00647594">
        <w:rPr>
          <w:sz w:val="24"/>
        </w:rPr>
        <w:t xml:space="preserve"> contribution to meeting housing need.</w:t>
      </w:r>
      <w:r w:rsidR="00E256C7" w:rsidRPr="00647594">
        <w:rPr>
          <w:sz w:val="24"/>
        </w:rPr>
        <w:t xml:space="preserve">   Hull would be a good example of the kinds of success that can be achieved.</w:t>
      </w:r>
      <w:r w:rsidR="0071680F">
        <w:rPr>
          <w:rStyle w:val="EndnoteReference"/>
          <w:sz w:val="24"/>
        </w:rPr>
        <w:endnoteReference w:id="4"/>
      </w:r>
      <w:r w:rsidRPr="00647594">
        <w:rPr>
          <w:sz w:val="24"/>
        </w:rPr>
        <w:t xml:space="preserve"> </w:t>
      </w:r>
    </w:p>
    <w:p w:rsidR="00647594" w:rsidRDefault="00647594" w:rsidP="00647594">
      <w:pPr>
        <w:pStyle w:val="Question"/>
        <w:spacing w:line="257" w:lineRule="auto"/>
        <w:rPr>
          <w:sz w:val="24"/>
        </w:rPr>
      </w:pPr>
    </w:p>
    <w:p w:rsidR="00BE498E" w:rsidRPr="00647594" w:rsidRDefault="00D46400" w:rsidP="00647594">
      <w:pPr>
        <w:pStyle w:val="Question"/>
        <w:spacing w:line="257" w:lineRule="auto"/>
        <w:rPr>
          <w:sz w:val="24"/>
        </w:rPr>
      </w:pPr>
      <w:r w:rsidRPr="00647594">
        <w:rPr>
          <w:sz w:val="24"/>
        </w:rPr>
        <w:t xml:space="preserve">Q3 </w:t>
      </w:r>
      <w:r w:rsidR="00BE498E" w:rsidRPr="00647594">
        <w:rPr>
          <w:sz w:val="24"/>
        </w:rPr>
        <w:t>How can Government (central/local/devolved) support and trigger initiatives that seek to ensure that more use is made of empty homes in areas with higher concentrations, and to stem the high turnover in some areas, alongside addressing other concerns about the quality of housing, the neighbourhood environment and life chances in these areas?</w:t>
      </w:r>
    </w:p>
    <w:p w:rsidR="00B45C7B" w:rsidRPr="00647594" w:rsidRDefault="00B45C7B" w:rsidP="00647594">
      <w:pPr>
        <w:spacing w:line="257" w:lineRule="auto"/>
        <w:rPr>
          <w:b/>
          <w:sz w:val="24"/>
        </w:rPr>
      </w:pPr>
      <w:r w:rsidRPr="00647594">
        <w:rPr>
          <w:b/>
          <w:sz w:val="24"/>
        </w:rPr>
        <w:t>Local authorities</w:t>
      </w:r>
    </w:p>
    <w:p w:rsidR="00E256C7" w:rsidRPr="00647594" w:rsidRDefault="00E256C7" w:rsidP="00647594">
      <w:pPr>
        <w:spacing w:line="257" w:lineRule="auto"/>
        <w:rPr>
          <w:sz w:val="24"/>
        </w:rPr>
      </w:pPr>
      <w:r w:rsidRPr="00647594">
        <w:rPr>
          <w:sz w:val="24"/>
        </w:rPr>
        <w:t>In our view,</w:t>
      </w:r>
      <w:r w:rsidRPr="00647594">
        <w:rPr>
          <w:b/>
          <w:sz w:val="24"/>
        </w:rPr>
        <w:t xml:space="preserve"> </w:t>
      </w:r>
      <w:r w:rsidRPr="00647594">
        <w:rPr>
          <w:sz w:val="24"/>
        </w:rPr>
        <w:t xml:space="preserve">local authorities should not “trigger” but </w:t>
      </w:r>
      <w:r w:rsidR="0071680F">
        <w:rPr>
          <w:sz w:val="24"/>
        </w:rPr>
        <w:t xml:space="preserve">should </w:t>
      </w:r>
      <w:r w:rsidRPr="0071680F">
        <w:rPr>
          <w:i/>
          <w:sz w:val="24"/>
        </w:rPr>
        <w:t>lead</w:t>
      </w:r>
      <w:r w:rsidRPr="00647594">
        <w:rPr>
          <w:sz w:val="24"/>
        </w:rPr>
        <w:t xml:space="preserve"> initiatives in their areas. Every local authority should have an effective empty homes strategy, although in cluster areas this is likely to be linked to neighbourhood regeneration</w:t>
      </w:r>
      <w:r w:rsidR="0071680F">
        <w:rPr>
          <w:sz w:val="24"/>
        </w:rPr>
        <w:t xml:space="preserve"> initiatives</w:t>
      </w:r>
      <w:r w:rsidRPr="00647594">
        <w:rPr>
          <w:sz w:val="24"/>
        </w:rPr>
        <w:t>.  The potential for involvement by community-based organisations as should be recognised.</w:t>
      </w:r>
    </w:p>
    <w:p w:rsidR="00D46400" w:rsidRPr="00647594" w:rsidRDefault="00D46400" w:rsidP="00647594">
      <w:pPr>
        <w:spacing w:line="257" w:lineRule="auto"/>
        <w:rPr>
          <w:b/>
          <w:sz w:val="24"/>
        </w:rPr>
      </w:pPr>
      <w:r w:rsidRPr="00647594">
        <w:rPr>
          <w:b/>
          <w:sz w:val="24"/>
        </w:rPr>
        <w:t>Devolved government</w:t>
      </w:r>
    </w:p>
    <w:p w:rsidR="00D46400" w:rsidRPr="00647594" w:rsidRDefault="00D46400" w:rsidP="00647594">
      <w:pPr>
        <w:spacing w:line="257" w:lineRule="auto"/>
        <w:rPr>
          <w:sz w:val="24"/>
        </w:rPr>
      </w:pPr>
      <w:r w:rsidRPr="00647594">
        <w:rPr>
          <w:sz w:val="24"/>
        </w:rPr>
        <w:t>Examples such as Kent, Wales and Scotland show the value of cross-boundary working. Means should be sought to promote the value of such initiatives</w:t>
      </w:r>
      <w:r w:rsidR="009E5BF3" w:rsidRPr="00647594">
        <w:rPr>
          <w:sz w:val="24"/>
        </w:rPr>
        <w:t xml:space="preserve"> which have a natural fit with city regions and the like.</w:t>
      </w:r>
    </w:p>
    <w:p w:rsidR="00647594" w:rsidRDefault="00647594">
      <w:pPr>
        <w:spacing w:after="0" w:line="240" w:lineRule="auto"/>
        <w:rPr>
          <w:b/>
          <w:sz w:val="24"/>
        </w:rPr>
      </w:pPr>
      <w:r>
        <w:rPr>
          <w:b/>
          <w:sz w:val="24"/>
        </w:rPr>
        <w:br w:type="page"/>
      </w:r>
    </w:p>
    <w:p w:rsidR="00D46400" w:rsidRPr="00647594" w:rsidRDefault="00D46400" w:rsidP="00647594">
      <w:pPr>
        <w:spacing w:line="257" w:lineRule="auto"/>
        <w:rPr>
          <w:b/>
          <w:sz w:val="24"/>
        </w:rPr>
      </w:pPr>
      <w:r w:rsidRPr="00647594">
        <w:rPr>
          <w:b/>
          <w:sz w:val="24"/>
        </w:rPr>
        <w:lastRenderedPageBreak/>
        <w:t>Central government</w:t>
      </w:r>
    </w:p>
    <w:p w:rsidR="00E256C7" w:rsidRPr="00647594" w:rsidRDefault="0071680F" w:rsidP="00647594">
      <w:pPr>
        <w:spacing w:line="257" w:lineRule="auto"/>
        <w:rPr>
          <w:sz w:val="24"/>
        </w:rPr>
      </w:pPr>
      <w:r>
        <w:rPr>
          <w:sz w:val="24"/>
        </w:rPr>
        <w:t xml:space="preserve">Following the example of Wales and Scotland, </w:t>
      </w:r>
      <w:r w:rsidR="002D5E28">
        <w:rPr>
          <w:sz w:val="24"/>
        </w:rPr>
        <w:t xml:space="preserve">the creation of </w:t>
      </w:r>
      <w:r>
        <w:rPr>
          <w:sz w:val="24"/>
        </w:rPr>
        <w:t>empty homes initiative</w:t>
      </w:r>
      <w:r w:rsidR="002D5E28">
        <w:rPr>
          <w:sz w:val="24"/>
        </w:rPr>
        <w:t xml:space="preserve"> for England would be a big step forward. </w:t>
      </w:r>
      <w:r w:rsidR="00D46400" w:rsidRPr="00647594">
        <w:rPr>
          <w:sz w:val="24"/>
        </w:rPr>
        <w:t>Central government c</w:t>
      </w:r>
      <w:r w:rsidR="002D5E28">
        <w:rPr>
          <w:sz w:val="24"/>
        </w:rPr>
        <w:t xml:space="preserve">ould </w:t>
      </w:r>
      <w:r w:rsidR="00D46400" w:rsidRPr="00647594">
        <w:rPr>
          <w:sz w:val="24"/>
        </w:rPr>
        <w:t xml:space="preserve">add vital impetus to local delivery through the following </w:t>
      </w:r>
      <w:r w:rsidR="00160743" w:rsidRPr="00647594">
        <w:rPr>
          <w:sz w:val="24"/>
        </w:rPr>
        <w:t>measures</w:t>
      </w:r>
      <w:r w:rsidR="00D46400" w:rsidRPr="00647594">
        <w:rPr>
          <w:sz w:val="24"/>
        </w:rPr>
        <w:t>:</w:t>
      </w:r>
    </w:p>
    <w:p w:rsidR="00D46400" w:rsidRPr="00647594" w:rsidRDefault="00D31F1F" w:rsidP="00647594">
      <w:pPr>
        <w:pStyle w:val="ListParagraph"/>
        <w:numPr>
          <w:ilvl w:val="0"/>
          <w:numId w:val="28"/>
        </w:numPr>
        <w:spacing w:after="120" w:line="257" w:lineRule="auto"/>
        <w:contextualSpacing w:val="0"/>
        <w:rPr>
          <w:sz w:val="24"/>
        </w:rPr>
      </w:pPr>
      <w:r w:rsidRPr="00647594">
        <w:rPr>
          <w:sz w:val="24"/>
        </w:rPr>
        <w:t>I</w:t>
      </w:r>
      <w:r w:rsidR="00D46400" w:rsidRPr="00647594">
        <w:rPr>
          <w:sz w:val="24"/>
        </w:rPr>
        <w:t>nstitute a practice-oriented programme of research into historic programmes to inform ensure that lessons from past practice are learned</w:t>
      </w:r>
      <w:r w:rsidR="00B078F6" w:rsidRPr="00647594">
        <w:rPr>
          <w:sz w:val="24"/>
        </w:rPr>
        <w:t xml:space="preserve"> and future interventions are evidence-based– see </w:t>
      </w:r>
      <w:r w:rsidR="00B078F6" w:rsidRPr="00647594">
        <w:rPr>
          <w:b/>
          <w:sz w:val="24"/>
        </w:rPr>
        <w:t>Q</w:t>
      </w:r>
      <w:r w:rsidR="00B23B8B" w:rsidRPr="00647594">
        <w:rPr>
          <w:b/>
          <w:sz w:val="24"/>
        </w:rPr>
        <w:t>5</w:t>
      </w:r>
      <w:r w:rsidR="00B078F6" w:rsidRPr="00647594">
        <w:rPr>
          <w:sz w:val="24"/>
        </w:rPr>
        <w:t>.</w:t>
      </w:r>
    </w:p>
    <w:p w:rsidR="00E256C7" w:rsidRPr="00647594" w:rsidRDefault="00D31F1F" w:rsidP="00647594">
      <w:pPr>
        <w:pStyle w:val="ListParagraph"/>
        <w:numPr>
          <w:ilvl w:val="0"/>
          <w:numId w:val="28"/>
        </w:numPr>
        <w:spacing w:after="120" w:line="257" w:lineRule="auto"/>
        <w:contextualSpacing w:val="0"/>
        <w:rPr>
          <w:sz w:val="24"/>
        </w:rPr>
      </w:pPr>
      <w:r w:rsidRPr="00647594">
        <w:rPr>
          <w:sz w:val="24"/>
        </w:rPr>
        <w:t>S</w:t>
      </w:r>
      <w:r w:rsidR="00E256C7" w:rsidRPr="00647594">
        <w:rPr>
          <w:sz w:val="24"/>
        </w:rPr>
        <w:t xml:space="preserve">upport the growth of community-based housing </w:t>
      </w:r>
      <w:proofErr w:type="gramStart"/>
      <w:r w:rsidR="00E256C7" w:rsidRPr="00647594">
        <w:rPr>
          <w:sz w:val="24"/>
        </w:rPr>
        <w:t xml:space="preserve">initiatives </w:t>
      </w:r>
      <w:r w:rsidR="004C6855" w:rsidRPr="00647594">
        <w:rPr>
          <w:sz w:val="24"/>
        </w:rPr>
        <w:t xml:space="preserve"> </w:t>
      </w:r>
      <w:r w:rsidR="00E256C7" w:rsidRPr="00647594">
        <w:rPr>
          <w:sz w:val="24"/>
        </w:rPr>
        <w:t>that</w:t>
      </w:r>
      <w:proofErr w:type="gramEnd"/>
      <w:r w:rsidR="00E256C7" w:rsidRPr="00647594">
        <w:rPr>
          <w:sz w:val="24"/>
        </w:rPr>
        <w:t xml:space="preserve"> can provide the social infrastructure </w:t>
      </w:r>
      <w:r w:rsidR="004C6855" w:rsidRPr="00647594">
        <w:rPr>
          <w:sz w:val="24"/>
        </w:rPr>
        <w:t xml:space="preserve">needed to ensure the success of </w:t>
      </w:r>
      <w:r w:rsidR="00E256C7" w:rsidRPr="00647594">
        <w:rPr>
          <w:sz w:val="24"/>
        </w:rPr>
        <w:t xml:space="preserve"> </w:t>
      </w:r>
      <w:r w:rsidR="004C6855" w:rsidRPr="00647594">
        <w:rPr>
          <w:sz w:val="24"/>
        </w:rPr>
        <w:t>top-down programmes</w:t>
      </w:r>
      <w:r w:rsidR="00B23B8B" w:rsidRPr="00647594">
        <w:rPr>
          <w:sz w:val="24"/>
        </w:rPr>
        <w:t xml:space="preserve">: reinstitute the </w:t>
      </w:r>
      <w:r w:rsidR="004C6855" w:rsidRPr="00647594">
        <w:rPr>
          <w:sz w:val="24"/>
        </w:rPr>
        <w:t>Empty Homes Communities Grant Programme</w:t>
      </w:r>
      <w:r w:rsidR="00B23B8B" w:rsidRPr="00647594">
        <w:rPr>
          <w:sz w:val="24"/>
        </w:rPr>
        <w:t xml:space="preserve"> – see also </w:t>
      </w:r>
      <w:r w:rsidR="00B23B8B" w:rsidRPr="00647594">
        <w:rPr>
          <w:b/>
          <w:sz w:val="24"/>
        </w:rPr>
        <w:t>Q5</w:t>
      </w:r>
      <w:r w:rsidR="00B23B8B" w:rsidRPr="00647594">
        <w:rPr>
          <w:sz w:val="24"/>
        </w:rPr>
        <w:t>.</w:t>
      </w:r>
    </w:p>
    <w:p w:rsidR="00E256C7" w:rsidRPr="00647594" w:rsidRDefault="00D31F1F" w:rsidP="00647594">
      <w:pPr>
        <w:pStyle w:val="ListParagraph"/>
        <w:numPr>
          <w:ilvl w:val="0"/>
          <w:numId w:val="28"/>
        </w:numPr>
        <w:spacing w:after="120" w:line="257" w:lineRule="auto"/>
        <w:contextualSpacing w:val="0"/>
        <w:rPr>
          <w:sz w:val="24"/>
        </w:rPr>
      </w:pPr>
      <w:r w:rsidRPr="00647594">
        <w:rPr>
          <w:sz w:val="24"/>
        </w:rPr>
        <w:t>R</w:t>
      </w:r>
      <w:r w:rsidR="004C6855" w:rsidRPr="00647594">
        <w:rPr>
          <w:sz w:val="24"/>
        </w:rPr>
        <w:t xml:space="preserve">ecognise that housing as an essential element of the nation’s infrastructure and invest accordingly, </w:t>
      </w:r>
      <w:r w:rsidR="00E256C7" w:rsidRPr="00647594">
        <w:rPr>
          <w:sz w:val="24"/>
        </w:rPr>
        <w:t>provid</w:t>
      </w:r>
      <w:r w:rsidR="004C6855" w:rsidRPr="00647594">
        <w:rPr>
          <w:sz w:val="24"/>
        </w:rPr>
        <w:t>ing some</w:t>
      </w:r>
      <w:r w:rsidR="00E256C7" w:rsidRPr="00647594">
        <w:rPr>
          <w:sz w:val="24"/>
        </w:rPr>
        <w:t xml:space="preserve"> </w:t>
      </w:r>
      <w:r w:rsidR="00194F60" w:rsidRPr="00647594">
        <w:rPr>
          <w:sz w:val="24"/>
        </w:rPr>
        <w:t xml:space="preserve">capital investment </w:t>
      </w:r>
      <w:r w:rsidR="00E256C7" w:rsidRPr="00647594">
        <w:rPr>
          <w:sz w:val="24"/>
        </w:rPr>
        <w:t>(as with the “Clusters of Empties”</w:t>
      </w:r>
      <w:r w:rsidR="004C6855" w:rsidRPr="00647594">
        <w:rPr>
          <w:sz w:val="24"/>
        </w:rPr>
        <w:t xml:space="preserve"> programme) specifically to help regenerate neighbourhoods, paying due regard to the principles promoted by George Clarke (previously the government’s Empty Homes Adviser)</w:t>
      </w:r>
      <w:r w:rsidRPr="00647594">
        <w:rPr>
          <w:sz w:val="24"/>
        </w:rPr>
        <w:t>.</w:t>
      </w:r>
    </w:p>
    <w:p w:rsidR="004C6855" w:rsidRPr="00647594" w:rsidRDefault="00D31F1F" w:rsidP="00647594">
      <w:pPr>
        <w:pStyle w:val="ListParagraph"/>
        <w:numPr>
          <w:ilvl w:val="0"/>
          <w:numId w:val="28"/>
        </w:numPr>
        <w:spacing w:after="120" w:line="257" w:lineRule="auto"/>
        <w:contextualSpacing w:val="0"/>
        <w:rPr>
          <w:sz w:val="24"/>
        </w:rPr>
      </w:pPr>
      <w:r w:rsidRPr="00647594">
        <w:rPr>
          <w:sz w:val="24"/>
        </w:rPr>
        <w:t>R</w:t>
      </w:r>
      <w:r w:rsidR="004C6855" w:rsidRPr="00647594">
        <w:rPr>
          <w:sz w:val="24"/>
        </w:rPr>
        <w:t>ecognise the contribution that refurbishment of empty homes can make to national and local economies</w:t>
      </w:r>
      <w:r w:rsidR="00B078F6" w:rsidRPr="00647594">
        <w:rPr>
          <w:sz w:val="24"/>
        </w:rPr>
        <w:t xml:space="preserve"> and hence of the benefits of the relevant investments; specifically recognise the enhanced “multiplier” effect attached to money spent on refurbishment compared with new-build</w:t>
      </w:r>
      <w:r w:rsidR="005A5CC3" w:rsidRPr="00647594">
        <w:rPr>
          <w:sz w:val="24"/>
        </w:rPr>
        <w:t xml:space="preserve"> housing (where land costs inflate the total cost)</w:t>
      </w:r>
      <w:r w:rsidRPr="00647594">
        <w:rPr>
          <w:sz w:val="24"/>
        </w:rPr>
        <w:t>.</w:t>
      </w:r>
      <w:r w:rsidR="005A5CC3" w:rsidRPr="00647594">
        <w:rPr>
          <w:rStyle w:val="EndnoteReference"/>
          <w:sz w:val="24"/>
        </w:rPr>
        <w:endnoteReference w:id="5"/>
      </w:r>
    </w:p>
    <w:p w:rsidR="00D31F1F" w:rsidRPr="00647594" w:rsidRDefault="00D31F1F" w:rsidP="00647594">
      <w:pPr>
        <w:pStyle w:val="ListParagraph"/>
        <w:numPr>
          <w:ilvl w:val="0"/>
          <w:numId w:val="28"/>
        </w:numPr>
        <w:spacing w:after="120" w:line="257" w:lineRule="auto"/>
        <w:contextualSpacing w:val="0"/>
        <w:rPr>
          <w:sz w:val="24"/>
        </w:rPr>
      </w:pPr>
      <w:r w:rsidRPr="00647594">
        <w:rPr>
          <w:sz w:val="24"/>
        </w:rPr>
        <w:t>Recognise the importance of prevention</w:t>
      </w:r>
      <w:r w:rsidR="00B23B8B" w:rsidRPr="00647594">
        <w:rPr>
          <w:sz w:val="24"/>
        </w:rPr>
        <w:t xml:space="preserve">: </w:t>
      </w:r>
      <w:r w:rsidRPr="00647594">
        <w:rPr>
          <w:sz w:val="24"/>
        </w:rPr>
        <w:t>ensure that programmes can intervene before the cycle of decline gains momentum.</w:t>
      </w:r>
      <w:r w:rsidR="00B23B8B" w:rsidRPr="00647594">
        <w:rPr>
          <w:sz w:val="24"/>
        </w:rPr>
        <w:t xml:space="preserve">  Establish good practice in prevention (see </w:t>
      </w:r>
      <w:r w:rsidR="00B23B8B" w:rsidRPr="00647594">
        <w:rPr>
          <w:b/>
          <w:sz w:val="24"/>
        </w:rPr>
        <w:t>Q5</w:t>
      </w:r>
      <w:r w:rsidR="00B23B8B" w:rsidRPr="00647594">
        <w:rPr>
          <w:sz w:val="24"/>
        </w:rPr>
        <w:t>).</w:t>
      </w:r>
    </w:p>
    <w:p w:rsidR="00194F60" w:rsidRPr="00647594" w:rsidRDefault="00295DAF" w:rsidP="00647594">
      <w:pPr>
        <w:pStyle w:val="ListParagraph"/>
        <w:numPr>
          <w:ilvl w:val="0"/>
          <w:numId w:val="28"/>
        </w:numPr>
        <w:spacing w:after="120" w:line="257" w:lineRule="auto"/>
        <w:contextualSpacing w:val="0"/>
        <w:rPr>
          <w:sz w:val="24"/>
        </w:rPr>
      </w:pPr>
      <w:r w:rsidRPr="00647594">
        <w:rPr>
          <w:sz w:val="24"/>
        </w:rPr>
        <w:t>Initiate the d</w:t>
      </w:r>
      <w:r w:rsidR="00194F60" w:rsidRPr="00647594">
        <w:rPr>
          <w:sz w:val="24"/>
        </w:rPr>
        <w:t>evelop</w:t>
      </w:r>
      <w:r w:rsidRPr="00647594">
        <w:rPr>
          <w:sz w:val="24"/>
        </w:rPr>
        <w:t>ment</w:t>
      </w:r>
      <w:r w:rsidR="00194F60" w:rsidRPr="00647594">
        <w:rPr>
          <w:sz w:val="24"/>
        </w:rPr>
        <w:t xml:space="preserve"> a national loan scheme, administered by local authorities</w:t>
      </w:r>
      <w:r w:rsidR="0071680F">
        <w:rPr>
          <w:sz w:val="24"/>
        </w:rPr>
        <w:t xml:space="preserve">, </w:t>
      </w:r>
      <w:r w:rsidR="00194F60" w:rsidRPr="00647594">
        <w:rPr>
          <w:sz w:val="24"/>
        </w:rPr>
        <w:t>offering preferential rates to support community housing organisations</w:t>
      </w:r>
      <w:r w:rsidR="00B23B8B" w:rsidRPr="00647594">
        <w:rPr>
          <w:sz w:val="24"/>
        </w:rPr>
        <w:t xml:space="preserve"> bringing longer-term empties back into use</w:t>
      </w:r>
      <w:r w:rsidR="00D31F1F" w:rsidRPr="00647594">
        <w:rPr>
          <w:sz w:val="24"/>
        </w:rPr>
        <w:t>,</w:t>
      </w:r>
      <w:r w:rsidR="00194F60" w:rsidRPr="00647594">
        <w:rPr>
          <w:sz w:val="24"/>
        </w:rPr>
        <w:t xml:space="preserve"> integrated into local regeneration strategies</w:t>
      </w:r>
      <w:r w:rsidR="00D31F1F" w:rsidRPr="00647594">
        <w:rPr>
          <w:sz w:val="24"/>
        </w:rPr>
        <w:t>.</w:t>
      </w:r>
    </w:p>
    <w:p w:rsidR="004C6855" w:rsidRPr="00647594" w:rsidRDefault="00295DAF" w:rsidP="00647594">
      <w:pPr>
        <w:pStyle w:val="ListParagraph"/>
        <w:numPr>
          <w:ilvl w:val="0"/>
          <w:numId w:val="28"/>
        </w:numPr>
        <w:spacing w:after="120" w:line="257" w:lineRule="auto"/>
        <w:contextualSpacing w:val="0"/>
        <w:rPr>
          <w:sz w:val="24"/>
        </w:rPr>
      </w:pPr>
      <w:r w:rsidRPr="00647594">
        <w:rPr>
          <w:sz w:val="24"/>
        </w:rPr>
        <w:t xml:space="preserve">Initiate the development of a </w:t>
      </w:r>
      <w:r w:rsidR="00532C77" w:rsidRPr="00647594">
        <w:rPr>
          <w:sz w:val="24"/>
        </w:rPr>
        <w:t>national loan scheme</w:t>
      </w:r>
      <w:r w:rsidR="00194F60" w:rsidRPr="00647594">
        <w:rPr>
          <w:sz w:val="24"/>
        </w:rPr>
        <w:t>, administered by local authorities</w:t>
      </w:r>
      <w:r w:rsidR="0071680F">
        <w:rPr>
          <w:sz w:val="24"/>
        </w:rPr>
        <w:t>,</w:t>
      </w:r>
      <w:r w:rsidR="00194F60" w:rsidRPr="00647594">
        <w:rPr>
          <w:sz w:val="24"/>
        </w:rPr>
        <w:t xml:space="preserve"> offering preferential rates,</w:t>
      </w:r>
      <w:r w:rsidR="00532C77" w:rsidRPr="00647594">
        <w:rPr>
          <w:sz w:val="24"/>
        </w:rPr>
        <w:t xml:space="preserve"> to support </w:t>
      </w:r>
      <w:r w:rsidR="004C6855" w:rsidRPr="00647594">
        <w:rPr>
          <w:sz w:val="24"/>
        </w:rPr>
        <w:t>homesteading</w:t>
      </w:r>
      <w:r w:rsidR="00B23B8B" w:rsidRPr="00647594">
        <w:rPr>
          <w:sz w:val="24"/>
        </w:rPr>
        <w:t xml:space="preserve"> of longer-term empties</w:t>
      </w:r>
      <w:r w:rsidR="00532C77" w:rsidRPr="00647594">
        <w:rPr>
          <w:sz w:val="24"/>
        </w:rPr>
        <w:t xml:space="preserve"> by owner</w:t>
      </w:r>
      <w:r w:rsidR="00D31F1F" w:rsidRPr="00647594">
        <w:rPr>
          <w:sz w:val="24"/>
        </w:rPr>
        <w:t>-o</w:t>
      </w:r>
      <w:r w:rsidR="00532C77" w:rsidRPr="00647594">
        <w:rPr>
          <w:sz w:val="24"/>
        </w:rPr>
        <w:t>ccupiers</w:t>
      </w:r>
      <w:r w:rsidR="00C11908" w:rsidRPr="00647594">
        <w:rPr>
          <w:sz w:val="24"/>
        </w:rPr>
        <w:t>,</w:t>
      </w:r>
      <w:r w:rsidR="00532C77" w:rsidRPr="00647594">
        <w:rPr>
          <w:sz w:val="24"/>
        </w:rPr>
        <w:t xml:space="preserve"> integrated into local regeneration strategies</w:t>
      </w:r>
      <w:r w:rsidR="00D31F1F" w:rsidRPr="00647594">
        <w:rPr>
          <w:sz w:val="24"/>
        </w:rPr>
        <w:t>.</w:t>
      </w:r>
    </w:p>
    <w:p w:rsidR="00194F60" w:rsidRPr="00647594" w:rsidRDefault="00D31F1F" w:rsidP="00647594">
      <w:pPr>
        <w:pStyle w:val="ListParagraph"/>
        <w:numPr>
          <w:ilvl w:val="0"/>
          <w:numId w:val="28"/>
        </w:numPr>
        <w:spacing w:after="120" w:line="257" w:lineRule="auto"/>
        <w:contextualSpacing w:val="0"/>
        <w:rPr>
          <w:sz w:val="24"/>
        </w:rPr>
      </w:pPr>
      <w:r w:rsidRPr="00647594">
        <w:rPr>
          <w:sz w:val="24"/>
        </w:rPr>
        <w:t>S</w:t>
      </w:r>
      <w:r w:rsidR="00194F60" w:rsidRPr="00647594">
        <w:rPr>
          <w:sz w:val="24"/>
        </w:rPr>
        <w:t>et high standards of sustainability for homes refurbished under empty homes programmes, to include energy and water conservation and maintainability and to commission the Buil</w:t>
      </w:r>
      <w:r w:rsidR="007966DD" w:rsidRPr="00647594">
        <w:rPr>
          <w:sz w:val="24"/>
        </w:rPr>
        <w:t xml:space="preserve">ding Research Establishment to </w:t>
      </w:r>
      <w:r w:rsidR="00194F60" w:rsidRPr="00647594">
        <w:rPr>
          <w:sz w:val="24"/>
        </w:rPr>
        <w:t>research and promote the appropriate techniques</w:t>
      </w:r>
      <w:r w:rsidR="007966DD" w:rsidRPr="00647594">
        <w:rPr>
          <w:sz w:val="24"/>
        </w:rPr>
        <w:t xml:space="preserve"> and learn from programmes such as the German ‘Future House’.</w:t>
      </w:r>
      <w:r w:rsidR="007966DD" w:rsidRPr="00647594">
        <w:rPr>
          <w:rStyle w:val="EndnoteReference"/>
          <w:sz w:val="24"/>
        </w:rPr>
        <w:endnoteReference w:id="6"/>
      </w:r>
    </w:p>
    <w:p w:rsidR="00D31F1F" w:rsidRPr="00647594" w:rsidRDefault="00D31F1F" w:rsidP="00647594">
      <w:pPr>
        <w:pStyle w:val="ListParagraph"/>
        <w:numPr>
          <w:ilvl w:val="0"/>
          <w:numId w:val="28"/>
        </w:numPr>
        <w:spacing w:after="120" w:line="257" w:lineRule="auto"/>
        <w:contextualSpacing w:val="0"/>
        <w:rPr>
          <w:sz w:val="24"/>
        </w:rPr>
      </w:pPr>
      <w:r w:rsidRPr="00647594">
        <w:rPr>
          <w:sz w:val="24"/>
        </w:rPr>
        <w:t>R</w:t>
      </w:r>
      <w:r w:rsidR="00532C77" w:rsidRPr="00647594">
        <w:rPr>
          <w:sz w:val="24"/>
        </w:rPr>
        <w:t>emove the SDLT surcharge on local authorities and all forms of community housing organisations purchasing empty homes</w:t>
      </w:r>
      <w:r w:rsidRPr="00647594">
        <w:rPr>
          <w:sz w:val="24"/>
        </w:rPr>
        <w:t>.</w:t>
      </w:r>
      <w:r w:rsidR="0029661C">
        <w:rPr>
          <w:rStyle w:val="EndnoteReference"/>
          <w:sz w:val="24"/>
        </w:rPr>
        <w:endnoteReference w:id="7"/>
      </w:r>
    </w:p>
    <w:p w:rsidR="00B23B8B" w:rsidRDefault="00B23B8B" w:rsidP="00647594">
      <w:pPr>
        <w:pStyle w:val="ListParagraph"/>
        <w:numPr>
          <w:ilvl w:val="0"/>
          <w:numId w:val="28"/>
        </w:numPr>
        <w:spacing w:after="120" w:line="257" w:lineRule="auto"/>
        <w:contextualSpacing w:val="0"/>
        <w:rPr>
          <w:sz w:val="24"/>
        </w:rPr>
      </w:pPr>
      <w:r w:rsidRPr="00647594">
        <w:rPr>
          <w:sz w:val="24"/>
        </w:rPr>
        <w:t xml:space="preserve">Improve the compulsory purchase legislation </w:t>
      </w:r>
      <w:r w:rsidR="00AC633A" w:rsidRPr="00647594">
        <w:rPr>
          <w:sz w:val="24"/>
        </w:rPr>
        <w:t>so that</w:t>
      </w:r>
      <w:r w:rsidRPr="00647594">
        <w:rPr>
          <w:sz w:val="24"/>
        </w:rPr>
        <w:t xml:space="preserve"> compulsory purchase of ‘anti-social’ </w:t>
      </w:r>
      <w:proofErr w:type="gramStart"/>
      <w:r w:rsidRPr="00647594">
        <w:rPr>
          <w:sz w:val="24"/>
        </w:rPr>
        <w:t>properties blighting</w:t>
      </w:r>
      <w:proofErr w:type="gramEnd"/>
      <w:r w:rsidRPr="00647594">
        <w:rPr>
          <w:sz w:val="24"/>
        </w:rPr>
        <w:t xml:space="preserve"> areas to be less onerous for local authorities and less rewarding for the owners of such properties.</w:t>
      </w:r>
    </w:p>
    <w:p w:rsidR="0071680F" w:rsidRPr="00647594" w:rsidRDefault="0071680F" w:rsidP="00647594">
      <w:pPr>
        <w:pStyle w:val="ListParagraph"/>
        <w:numPr>
          <w:ilvl w:val="0"/>
          <w:numId w:val="28"/>
        </w:numPr>
        <w:spacing w:after="120" w:line="257" w:lineRule="auto"/>
        <w:contextualSpacing w:val="0"/>
        <w:rPr>
          <w:sz w:val="24"/>
        </w:rPr>
      </w:pPr>
      <w:r>
        <w:rPr>
          <w:sz w:val="24"/>
        </w:rPr>
        <w:t>Address anomalies in current legislation such as the indefinite exemption from council tax for properties awaiting probate (we recommend a three-year limit); the opportunity for owners to avoid council tax by having their properties delisted if damaged.</w:t>
      </w:r>
    </w:p>
    <w:p w:rsidR="00BE498E" w:rsidRPr="00647594" w:rsidRDefault="00D46400" w:rsidP="00647594">
      <w:pPr>
        <w:pStyle w:val="Question"/>
        <w:spacing w:before="240" w:line="257" w:lineRule="auto"/>
        <w:rPr>
          <w:sz w:val="24"/>
        </w:rPr>
      </w:pPr>
      <w:r w:rsidRPr="00647594">
        <w:rPr>
          <w:sz w:val="24"/>
        </w:rPr>
        <w:lastRenderedPageBreak/>
        <w:t xml:space="preserve">Q4 </w:t>
      </w:r>
      <w:proofErr w:type="gramStart"/>
      <w:r w:rsidR="00BE498E" w:rsidRPr="00647594">
        <w:rPr>
          <w:sz w:val="24"/>
        </w:rPr>
        <w:t>What</w:t>
      </w:r>
      <w:proofErr w:type="gramEnd"/>
      <w:r w:rsidR="00BE498E" w:rsidRPr="00647594">
        <w:rPr>
          <w:sz w:val="24"/>
        </w:rPr>
        <w:t xml:space="preserve"> organisations are best placed to address empty properties and what are the current barriers and opportunities for them to do so at scale? </w:t>
      </w:r>
    </w:p>
    <w:p w:rsidR="00B23B8B" w:rsidRPr="00647594" w:rsidRDefault="00B23B8B" w:rsidP="00647594">
      <w:pPr>
        <w:spacing w:line="257" w:lineRule="auto"/>
        <w:rPr>
          <w:sz w:val="24"/>
        </w:rPr>
      </w:pPr>
      <w:r w:rsidRPr="00647594">
        <w:rPr>
          <w:sz w:val="24"/>
        </w:rPr>
        <w:t xml:space="preserve">Local authorities have the duties, powers and strategic role to take the lead in their areas.  Currently they lack sufficient capital resources to </w:t>
      </w:r>
      <w:r w:rsidR="00D879B9" w:rsidRPr="00647594">
        <w:rPr>
          <w:sz w:val="24"/>
        </w:rPr>
        <w:t xml:space="preserve">address the problem at scale. The evidence base around different approaches is currently insufficient to allow them to them move to forwards as confidently as they might (see </w:t>
      </w:r>
      <w:r w:rsidR="00D879B9" w:rsidRPr="002D5E28">
        <w:rPr>
          <w:b/>
          <w:sz w:val="24"/>
        </w:rPr>
        <w:t>Q5</w:t>
      </w:r>
      <w:r w:rsidR="00D879B9" w:rsidRPr="00647594">
        <w:rPr>
          <w:sz w:val="24"/>
        </w:rPr>
        <w:t xml:space="preserve">).  Clear models </w:t>
      </w:r>
      <w:r w:rsidR="002D5E28">
        <w:rPr>
          <w:sz w:val="24"/>
        </w:rPr>
        <w:t xml:space="preserve">and templates </w:t>
      </w:r>
      <w:r w:rsidR="00D879B9" w:rsidRPr="00647594">
        <w:rPr>
          <w:sz w:val="24"/>
        </w:rPr>
        <w:t xml:space="preserve">promoted nationally and backed up by adequate resources would provide </w:t>
      </w:r>
      <w:r w:rsidR="002F5A0A" w:rsidRPr="00647594">
        <w:rPr>
          <w:sz w:val="24"/>
        </w:rPr>
        <w:t xml:space="preserve">additional </w:t>
      </w:r>
      <w:r w:rsidR="00D879B9" w:rsidRPr="00647594">
        <w:rPr>
          <w:sz w:val="24"/>
        </w:rPr>
        <w:t xml:space="preserve">impetus and be a catalyst for the </w:t>
      </w:r>
      <w:r w:rsidR="002F5A0A" w:rsidRPr="00647594">
        <w:rPr>
          <w:sz w:val="24"/>
        </w:rPr>
        <w:t>implementation of best practice.</w:t>
      </w:r>
    </w:p>
    <w:p w:rsidR="00D879B9" w:rsidRPr="00647594" w:rsidRDefault="00D879B9" w:rsidP="00647594">
      <w:pPr>
        <w:spacing w:line="257" w:lineRule="auto"/>
        <w:rPr>
          <w:sz w:val="24"/>
        </w:rPr>
      </w:pPr>
      <w:r w:rsidRPr="00647594">
        <w:rPr>
          <w:sz w:val="24"/>
        </w:rPr>
        <w:t xml:space="preserve">Refurbishment of scattered empties </w:t>
      </w:r>
      <w:r w:rsidR="0029661C">
        <w:rPr>
          <w:sz w:val="24"/>
        </w:rPr>
        <w:t xml:space="preserve">can be </w:t>
      </w:r>
      <w:r w:rsidRPr="00647594">
        <w:rPr>
          <w:sz w:val="24"/>
        </w:rPr>
        <w:t xml:space="preserve">carried </w:t>
      </w:r>
      <w:r w:rsidR="0029661C">
        <w:rPr>
          <w:sz w:val="24"/>
        </w:rPr>
        <w:t xml:space="preserve">out </w:t>
      </w:r>
      <w:r w:rsidR="004D2B21" w:rsidRPr="00647594">
        <w:rPr>
          <w:sz w:val="24"/>
        </w:rPr>
        <w:t>most economically</w:t>
      </w:r>
      <w:r w:rsidRPr="00647594">
        <w:rPr>
          <w:sz w:val="24"/>
        </w:rPr>
        <w:t xml:space="preserve"> by small builders or by community-led housing organisations offering training and employment opportunities.</w:t>
      </w:r>
      <w:r w:rsidR="002D5E28">
        <w:rPr>
          <w:rStyle w:val="EndnoteReference"/>
          <w:sz w:val="24"/>
        </w:rPr>
        <w:endnoteReference w:id="8"/>
      </w:r>
      <w:r w:rsidRPr="00647594">
        <w:rPr>
          <w:sz w:val="24"/>
        </w:rPr>
        <w:t xml:space="preserve"> The training and employment opportunities make the latter a more attractive route but the current capacity of such organisations to deliver should not be overestimated: many areas do not have candidate organisations and even where they exist their capacity may be limited.  </w:t>
      </w:r>
      <w:r w:rsidR="002F5A0A" w:rsidRPr="00647594">
        <w:rPr>
          <w:sz w:val="24"/>
        </w:rPr>
        <w:t>The sector can usefully be expanded but any top-down measures to do so need to be based on pilots</w:t>
      </w:r>
      <w:r w:rsidR="004D2B21" w:rsidRPr="00647594">
        <w:rPr>
          <w:sz w:val="24"/>
        </w:rPr>
        <w:t xml:space="preserve"> (see </w:t>
      </w:r>
      <w:r w:rsidR="004D2B21" w:rsidRPr="000124B2">
        <w:rPr>
          <w:b/>
          <w:sz w:val="24"/>
        </w:rPr>
        <w:t>Q5</w:t>
      </w:r>
      <w:r w:rsidR="004D2B21" w:rsidRPr="00647594">
        <w:rPr>
          <w:sz w:val="24"/>
        </w:rPr>
        <w:t>)</w:t>
      </w:r>
      <w:r w:rsidR="002F5A0A" w:rsidRPr="00647594">
        <w:rPr>
          <w:sz w:val="24"/>
        </w:rPr>
        <w:t>.</w:t>
      </w:r>
    </w:p>
    <w:p w:rsidR="00B23B8B" w:rsidRPr="00647594" w:rsidRDefault="00B23B8B" w:rsidP="00647594">
      <w:pPr>
        <w:spacing w:line="257" w:lineRule="auto"/>
        <w:rPr>
          <w:sz w:val="24"/>
        </w:rPr>
      </w:pPr>
      <w:r w:rsidRPr="00647594">
        <w:rPr>
          <w:sz w:val="24"/>
        </w:rPr>
        <w:t xml:space="preserve">An enhanced role for central government is spelled out at </w:t>
      </w:r>
      <w:r w:rsidRPr="00647594">
        <w:rPr>
          <w:b/>
          <w:sz w:val="24"/>
        </w:rPr>
        <w:t>Q3</w:t>
      </w:r>
      <w:r w:rsidRPr="00647594">
        <w:rPr>
          <w:sz w:val="24"/>
        </w:rPr>
        <w:t xml:space="preserve">. </w:t>
      </w:r>
      <w:r w:rsidR="00D879B9" w:rsidRPr="00647594">
        <w:rPr>
          <w:sz w:val="24"/>
        </w:rPr>
        <w:t>The main barrier at national leve</w:t>
      </w:r>
      <w:r w:rsidR="002B674C" w:rsidRPr="00647594">
        <w:rPr>
          <w:sz w:val="24"/>
        </w:rPr>
        <w:t xml:space="preserve">l seems to be a lack of appetite: this may reflect insufficient awareness of </w:t>
      </w:r>
      <w:r w:rsidR="00D879B9" w:rsidRPr="00647594">
        <w:rPr>
          <w:sz w:val="24"/>
        </w:rPr>
        <w:t xml:space="preserve">what could be achieved </w:t>
      </w:r>
      <w:r w:rsidR="002B674C" w:rsidRPr="00647594">
        <w:rPr>
          <w:sz w:val="24"/>
        </w:rPr>
        <w:t xml:space="preserve">with greater </w:t>
      </w:r>
      <w:r w:rsidR="00D879B9" w:rsidRPr="00647594">
        <w:rPr>
          <w:sz w:val="24"/>
        </w:rPr>
        <w:t xml:space="preserve">central government </w:t>
      </w:r>
      <w:r w:rsidR="002B674C" w:rsidRPr="00647594">
        <w:rPr>
          <w:sz w:val="24"/>
        </w:rPr>
        <w:t xml:space="preserve">support </w:t>
      </w:r>
      <w:r w:rsidR="00295DAF" w:rsidRPr="00647594">
        <w:rPr>
          <w:sz w:val="24"/>
        </w:rPr>
        <w:t xml:space="preserve">or of </w:t>
      </w:r>
      <w:r w:rsidR="00D879B9" w:rsidRPr="00647594">
        <w:rPr>
          <w:sz w:val="24"/>
        </w:rPr>
        <w:t xml:space="preserve">the political </w:t>
      </w:r>
      <w:r w:rsidR="002B674C" w:rsidRPr="00647594">
        <w:rPr>
          <w:sz w:val="24"/>
        </w:rPr>
        <w:t>benefits</w:t>
      </w:r>
      <w:r w:rsidR="00D879B9" w:rsidRPr="00647594">
        <w:rPr>
          <w:sz w:val="24"/>
        </w:rPr>
        <w:t xml:space="preserve"> of </w:t>
      </w:r>
      <w:r w:rsidR="002B674C" w:rsidRPr="00647594">
        <w:rPr>
          <w:sz w:val="24"/>
        </w:rPr>
        <w:t>providing such support</w:t>
      </w:r>
      <w:r w:rsidR="00295DAF" w:rsidRPr="00647594">
        <w:rPr>
          <w:sz w:val="24"/>
        </w:rPr>
        <w:t xml:space="preserve">; it may also reflect the ‘learned helplessness’ of the </w:t>
      </w:r>
      <w:r w:rsidR="002B674C" w:rsidRPr="00647594">
        <w:rPr>
          <w:sz w:val="24"/>
        </w:rPr>
        <w:t>civil service around the issues and solutions connected with regeneration</w:t>
      </w:r>
      <w:r w:rsidR="00295DAF" w:rsidRPr="00647594">
        <w:rPr>
          <w:sz w:val="24"/>
        </w:rPr>
        <w:t xml:space="preserve"> generally and empty homes specifically</w:t>
      </w:r>
      <w:r w:rsidR="00D879B9" w:rsidRPr="00647594">
        <w:rPr>
          <w:sz w:val="24"/>
        </w:rPr>
        <w:t xml:space="preserve">. </w:t>
      </w:r>
    </w:p>
    <w:p w:rsidR="00647594" w:rsidRDefault="00647594" w:rsidP="00647594">
      <w:pPr>
        <w:pStyle w:val="Question"/>
        <w:spacing w:line="257" w:lineRule="auto"/>
        <w:rPr>
          <w:sz w:val="24"/>
        </w:rPr>
      </w:pPr>
    </w:p>
    <w:p w:rsidR="00BE498E" w:rsidRPr="00647594" w:rsidRDefault="00D46400" w:rsidP="00647594">
      <w:pPr>
        <w:pStyle w:val="Question"/>
        <w:spacing w:line="257" w:lineRule="auto"/>
        <w:rPr>
          <w:sz w:val="24"/>
        </w:rPr>
      </w:pPr>
      <w:r w:rsidRPr="00647594">
        <w:rPr>
          <w:sz w:val="24"/>
        </w:rPr>
        <w:t xml:space="preserve">Q5 </w:t>
      </w:r>
      <w:proofErr w:type="gramStart"/>
      <w:r w:rsidR="00BE498E" w:rsidRPr="00647594">
        <w:rPr>
          <w:sz w:val="24"/>
        </w:rPr>
        <w:t>What</w:t>
      </w:r>
      <w:proofErr w:type="gramEnd"/>
      <w:r w:rsidR="00BE498E" w:rsidRPr="00647594">
        <w:rPr>
          <w:sz w:val="24"/>
        </w:rPr>
        <w:t xml:space="preserve"> works in tackling concentrations and how can this be replicated across areas and scaled up?</w:t>
      </w:r>
    </w:p>
    <w:p w:rsidR="002F5A0A" w:rsidRPr="00647594" w:rsidRDefault="002F5A0A" w:rsidP="00647594">
      <w:pPr>
        <w:spacing w:line="257" w:lineRule="auto"/>
        <w:rPr>
          <w:sz w:val="24"/>
        </w:rPr>
      </w:pPr>
      <w:r w:rsidRPr="00647594">
        <w:rPr>
          <w:sz w:val="24"/>
        </w:rPr>
        <w:t xml:space="preserve">There are clear indications available of successful approaches and also into historic approaches that have exacerbated problems in some areas </w:t>
      </w:r>
      <w:r w:rsidR="00160743" w:rsidRPr="00647594">
        <w:rPr>
          <w:sz w:val="24"/>
        </w:rPr>
        <w:t>.</w:t>
      </w:r>
      <w:r w:rsidRPr="00647594">
        <w:rPr>
          <w:sz w:val="24"/>
        </w:rPr>
        <w:t xml:space="preserve">Research is needed into what does and doesn’t work and best practice should </w:t>
      </w:r>
      <w:r w:rsidR="004D2B21" w:rsidRPr="00647594">
        <w:rPr>
          <w:sz w:val="24"/>
        </w:rPr>
        <w:t xml:space="preserve">then </w:t>
      </w:r>
      <w:r w:rsidRPr="00647594">
        <w:rPr>
          <w:sz w:val="24"/>
        </w:rPr>
        <w:t>be actively promoted via governmental agencies. Key areas of research would include:</w:t>
      </w:r>
    </w:p>
    <w:p w:rsidR="002F5A0A" w:rsidRPr="00647594" w:rsidRDefault="002F5A0A" w:rsidP="00647594">
      <w:pPr>
        <w:pStyle w:val="ListParagraph"/>
        <w:numPr>
          <w:ilvl w:val="0"/>
          <w:numId w:val="31"/>
        </w:numPr>
        <w:spacing w:after="120" w:line="257" w:lineRule="auto"/>
        <w:contextualSpacing w:val="0"/>
        <w:rPr>
          <w:sz w:val="24"/>
        </w:rPr>
      </w:pPr>
      <w:r w:rsidRPr="00647594">
        <w:rPr>
          <w:sz w:val="24"/>
        </w:rPr>
        <w:t>a</w:t>
      </w:r>
      <w:r w:rsidR="00D46400" w:rsidRPr="00647594">
        <w:rPr>
          <w:sz w:val="24"/>
        </w:rPr>
        <w:t xml:space="preserve"> retrospective evaluation of the Coalition government’s Clusters of Empties programme</w:t>
      </w:r>
    </w:p>
    <w:p w:rsidR="00D46400" w:rsidRPr="00647594" w:rsidRDefault="002F5A0A" w:rsidP="00647594">
      <w:pPr>
        <w:pStyle w:val="ListParagraph"/>
        <w:numPr>
          <w:ilvl w:val="0"/>
          <w:numId w:val="31"/>
        </w:numPr>
        <w:spacing w:after="120" w:line="257" w:lineRule="auto"/>
        <w:contextualSpacing w:val="0"/>
        <w:rPr>
          <w:sz w:val="24"/>
        </w:rPr>
      </w:pPr>
      <w:r w:rsidRPr="00647594">
        <w:rPr>
          <w:sz w:val="24"/>
        </w:rPr>
        <w:t xml:space="preserve">the extension and completion of </w:t>
      </w:r>
      <w:r w:rsidR="00D46400" w:rsidRPr="00647594">
        <w:rPr>
          <w:sz w:val="24"/>
        </w:rPr>
        <w:t xml:space="preserve">Birmingham University’s Housing and Communities Research Group research into the Empty Homes Community Grants Programme </w:t>
      </w:r>
      <w:r w:rsidR="0029661C">
        <w:rPr>
          <w:rStyle w:val="EndnoteReference"/>
          <w:sz w:val="24"/>
        </w:rPr>
        <w:endnoteReference w:id="9"/>
      </w:r>
    </w:p>
    <w:p w:rsidR="00B078F6" w:rsidRPr="00647594" w:rsidRDefault="002F5A0A" w:rsidP="00647594">
      <w:pPr>
        <w:pStyle w:val="ListParagraph"/>
        <w:numPr>
          <w:ilvl w:val="0"/>
          <w:numId w:val="31"/>
        </w:numPr>
        <w:spacing w:after="120" w:line="257" w:lineRule="auto"/>
        <w:contextualSpacing w:val="0"/>
        <w:rPr>
          <w:sz w:val="24"/>
        </w:rPr>
      </w:pPr>
      <w:r w:rsidRPr="00647594">
        <w:rPr>
          <w:sz w:val="24"/>
        </w:rPr>
        <w:t xml:space="preserve">research into the scope for </w:t>
      </w:r>
      <w:r w:rsidR="00B078F6" w:rsidRPr="00647594">
        <w:rPr>
          <w:sz w:val="24"/>
        </w:rPr>
        <w:t xml:space="preserve">expanding the </w:t>
      </w:r>
      <w:r w:rsidRPr="00647594">
        <w:rPr>
          <w:sz w:val="24"/>
        </w:rPr>
        <w:t xml:space="preserve">community housing group </w:t>
      </w:r>
      <w:r w:rsidR="00B078F6" w:rsidRPr="00647594">
        <w:rPr>
          <w:sz w:val="24"/>
        </w:rPr>
        <w:t>sector</w:t>
      </w:r>
      <w:r w:rsidRPr="00647594">
        <w:rPr>
          <w:sz w:val="24"/>
        </w:rPr>
        <w:t xml:space="preserve"> and pilots to establish the feasibility of extension into areas </w:t>
      </w:r>
      <w:r w:rsidR="002B674C" w:rsidRPr="00647594">
        <w:rPr>
          <w:sz w:val="24"/>
        </w:rPr>
        <w:t>that currently lack such groups</w:t>
      </w:r>
    </w:p>
    <w:p w:rsidR="00295DAF" w:rsidRPr="00647594" w:rsidRDefault="00295DAF" w:rsidP="00647594">
      <w:pPr>
        <w:pStyle w:val="ListParagraph"/>
        <w:numPr>
          <w:ilvl w:val="0"/>
          <w:numId w:val="31"/>
        </w:numPr>
        <w:spacing w:after="120" w:line="257" w:lineRule="auto"/>
        <w:contextualSpacing w:val="0"/>
        <w:rPr>
          <w:sz w:val="24"/>
        </w:rPr>
      </w:pPr>
      <w:r w:rsidRPr="00647594">
        <w:rPr>
          <w:sz w:val="24"/>
        </w:rPr>
        <w:t xml:space="preserve">research into ‘early warning’ indicators for failing markets and the development of appropriate monitoring systems </w:t>
      </w:r>
      <w:r w:rsidR="00AC633A" w:rsidRPr="00647594">
        <w:rPr>
          <w:sz w:val="24"/>
        </w:rPr>
        <w:t xml:space="preserve">and </w:t>
      </w:r>
      <w:r w:rsidR="00EA113C">
        <w:rPr>
          <w:sz w:val="24"/>
        </w:rPr>
        <w:t xml:space="preserve">prevention </w:t>
      </w:r>
      <w:r w:rsidR="00AC633A" w:rsidRPr="00647594">
        <w:rPr>
          <w:sz w:val="24"/>
        </w:rPr>
        <w:t>strategies</w:t>
      </w:r>
    </w:p>
    <w:p w:rsidR="002B674C" w:rsidRPr="00647594" w:rsidRDefault="002B674C" w:rsidP="00647594">
      <w:pPr>
        <w:pStyle w:val="ListParagraph"/>
        <w:numPr>
          <w:ilvl w:val="0"/>
          <w:numId w:val="31"/>
        </w:numPr>
        <w:spacing w:after="120" w:line="257" w:lineRule="auto"/>
        <w:contextualSpacing w:val="0"/>
        <w:rPr>
          <w:sz w:val="24"/>
        </w:rPr>
      </w:pPr>
      <w:proofErr w:type="gramStart"/>
      <w:r w:rsidRPr="00647594">
        <w:rPr>
          <w:sz w:val="24"/>
        </w:rPr>
        <w:t>research</w:t>
      </w:r>
      <w:proofErr w:type="gramEnd"/>
      <w:r w:rsidRPr="00647594">
        <w:rPr>
          <w:sz w:val="24"/>
        </w:rPr>
        <w:t xml:space="preserve"> into homesteading options and specifically into the feasibility of shared-ownership homesteading to expand home ownership</w:t>
      </w:r>
      <w:r w:rsidR="004D2B21" w:rsidRPr="00647594">
        <w:rPr>
          <w:sz w:val="24"/>
        </w:rPr>
        <w:t>.</w:t>
      </w:r>
    </w:p>
    <w:p w:rsidR="002B674C" w:rsidRPr="00647594" w:rsidRDefault="002B674C" w:rsidP="00647594">
      <w:pPr>
        <w:spacing w:before="240" w:line="257" w:lineRule="auto"/>
        <w:rPr>
          <w:sz w:val="24"/>
        </w:rPr>
      </w:pPr>
      <w:r w:rsidRPr="00647594">
        <w:rPr>
          <w:sz w:val="24"/>
        </w:rPr>
        <w:t>Even without such research there are some clear pointers for success:</w:t>
      </w:r>
    </w:p>
    <w:p w:rsidR="002B674C" w:rsidRPr="00647594" w:rsidRDefault="002B674C" w:rsidP="00647594">
      <w:pPr>
        <w:pStyle w:val="ListParagraph"/>
        <w:numPr>
          <w:ilvl w:val="0"/>
          <w:numId w:val="32"/>
        </w:numPr>
        <w:spacing w:before="120" w:after="0" w:line="257" w:lineRule="auto"/>
        <w:contextualSpacing w:val="0"/>
        <w:rPr>
          <w:sz w:val="24"/>
        </w:rPr>
      </w:pPr>
      <w:r w:rsidRPr="00647594">
        <w:rPr>
          <w:sz w:val="24"/>
        </w:rPr>
        <w:t>local authority leadership is essential</w:t>
      </w:r>
    </w:p>
    <w:p w:rsidR="002B674C" w:rsidRPr="00647594" w:rsidRDefault="002B674C" w:rsidP="00647594">
      <w:pPr>
        <w:pStyle w:val="ListParagraph"/>
        <w:numPr>
          <w:ilvl w:val="0"/>
          <w:numId w:val="32"/>
        </w:numPr>
        <w:spacing w:before="120" w:after="0" w:line="257" w:lineRule="auto"/>
        <w:contextualSpacing w:val="0"/>
        <w:rPr>
          <w:sz w:val="24"/>
        </w:rPr>
      </w:pPr>
      <w:r w:rsidRPr="00647594">
        <w:rPr>
          <w:sz w:val="24"/>
        </w:rPr>
        <w:t>scaling up and replication inevitably requires scaled-up funding</w:t>
      </w:r>
    </w:p>
    <w:p w:rsidR="002B674C" w:rsidRPr="00647594" w:rsidRDefault="002B674C" w:rsidP="00647594">
      <w:pPr>
        <w:pStyle w:val="ListParagraph"/>
        <w:numPr>
          <w:ilvl w:val="0"/>
          <w:numId w:val="32"/>
        </w:numPr>
        <w:spacing w:before="120" w:after="0" w:line="257" w:lineRule="auto"/>
        <w:contextualSpacing w:val="0"/>
        <w:rPr>
          <w:sz w:val="24"/>
        </w:rPr>
      </w:pPr>
      <w:r w:rsidRPr="00647594">
        <w:rPr>
          <w:sz w:val="24"/>
        </w:rPr>
        <w:lastRenderedPageBreak/>
        <w:t xml:space="preserve">wider regeneration issues </w:t>
      </w:r>
      <w:r w:rsidR="007966DD" w:rsidRPr="00647594">
        <w:rPr>
          <w:sz w:val="24"/>
        </w:rPr>
        <w:t xml:space="preserve">such as </w:t>
      </w:r>
      <w:r w:rsidRPr="00647594">
        <w:rPr>
          <w:sz w:val="24"/>
        </w:rPr>
        <w:t>neighbourhood quality, economic and infrastructure aspects</w:t>
      </w:r>
      <w:r w:rsidR="007966DD" w:rsidRPr="00647594">
        <w:rPr>
          <w:sz w:val="24"/>
        </w:rPr>
        <w:t xml:space="preserve"> need to be addressed – a holistic approach is needed</w:t>
      </w:r>
    </w:p>
    <w:p w:rsidR="002B674C" w:rsidRPr="00647594" w:rsidRDefault="002B674C" w:rsidP="00647594">
      <w:pPr>
        <w:pStyle w:val="ListParagraph"/>
        <w:numPr>
          <w:ilvl w:val="0"/>
          <w:numId w:val="32"/>
        </w:numPr>
        <w:spacing w:before="120" w:after="0" w:line="257" w:lineRule="auto"/>
        <w:contextualSpacing w:val="0"/>
        <w:rPr>
          <w:sz w:val="24"/>
        </w:rPr>
      </w:pPr>
      <w:r w:rsidRPr="00647594">
        <w:rPr>
          <w:sz w:val="24"/>
        </w:rPr>
        <w:t xml:space="preserve">the strength of the local community </w:t>
      </w:r>
      <w:r w:rsidR="007966DD" w:rsidRPr="00647594">
        <w:rPr>
          <w:sz w:val="24"/>
        </w:rPr>
        <w:t>(including ‘imported communities’ as with homesteading schemes)</w:t>
      </w:r>
      <w:r w:rsidRPr="00647594">
        <w:rPr>
          <w:sz w:val="24"/>
        </w:rPr>
        <w:t xml:space="preserve">and its active involvement  </w:t>
      </w:r>
      <w:r w:rsidR="007966DD" w:rsidRPr="00647594">
        <w:rPr>
          <w:sz w:val="24"/>
        </w:rPr>
        <w:t>is vital</w:t>
      </w:r>
    </w:p>
    <w:p w:rsidR="007966DD" w:rsidRPr="00647594" w:rsidRDefault="0029661C" w:rsidP="00647594">
      <w:pPr>
        <w:pStyle w:val="ListParagraph"/>
        <w:numPr>
          <w:ilvl w:val="0"/>
          <w:numId w:val="32"/>
        </w:numPr>
        <w:spacing w:before="120" w:after="0" w:line="257" w:lineRule="auto"/>
        <w:contextualSpacing w:val="0"/>
        <w:rPr>
          <w:sz w:val="24"/>
        </w:rPr>
      </w:pPr>
      <w:proofErr w:type="gramStart"/>
      <w:r w:rsidRPr="00647594">
        <w:rPr>
          <w:sz w:val="24"/>
        </w:rPr>
        <w:t>alongside</w:t>
      </w:r>
      <w:proofErr w:type="gramEnd"/>
      <w:r w:rsidRPr="00647594">
        <w:rPr>
          <w:sz w:val="24"/>
        </w:rPr>
        <w:t xml:space="preserve"> incentives</w:t>
      </w:r>
      <w:r>
        <w:rPr>
          <w:sz w:val="24"/>
        </w:rPr>
        <w:t>,</w:t>
      </w:r>
      <w:r w:rsidRPr="00647594">
        <w:rPr>
          <w:sz w:val="24"/>
        </w:rPr>
        <w:t xml:space="preserve"> </w:t>
      </w:r>
      <w:r w:rsidR="007966DD" w:rsidRPr="00647594">
        <w:rPr>
          <w:sz w:val="24"/>
        </w:rPr>
        <w:t xml:space="preserve">active enforcement </w:t>
      </w:r>
      <w:r>
        <w:rPr>
          <w:sz w:val="24"/>
        </w:rPr>
        <w:t>interventions are</w:t>
      </w:r>
      <w:r w:rsidR="007966DD" w:rsidRPr="00647594">
        <w:rPr>
          <w:sz w:val="24"/>
        </w:rPr>
        <w:t xml:space="preserve"> needed to tackle ‘anti-social’ properties.</w:t>
      </w:r>
    </w:p>
    <w:p w:rsidR="00AC633A" w:rsidRPr="00647594" w:rsidRDefault="004D2B21" w:rsidP="00647594">
      <w:pPr>
        <w:spacing w:before="240" w:line="257" w:lineRule="auto"/>
        <w:rPr>
          <w:b/>
          <w:sz w:val="24"/>
        </w:rPr>
      </w:pPr>
      <w:r w:rsidRPr="00647594">
        <w:rPr>
          <w:b/>
          <w:sz w:val="24"/>
        </w:rPr>
        <w:t xml:space="preserve">Generic solutions underpin </w:t>
      </w:r>
      <w:r w:rsidR="00AC633A" w:rsidRPr="00647594">
        <w:rPr>
          <w:b/>
          <w:sz w:val="24"/>
        </w:rPr>
        <w:t xml:space="preserve">the solutions to specific issues. </w:t>
      </w:r>
    </w:p>
    <w:p w:rsidR="009E5BF3" w:rsidRPr="00647594" w:rsidRDefault="009E5BF3" w:rsidP="00647594">
      <w:pPr>
        <w:spacing w:before="240" w:line="257" w:lineRule="auto"/>
        <w:rPr>
          <w:sz w:val="24"/>
        </w:rPr>
      </w:pPr>
      <w:r w:rsidRPr="00647594">
        <w:rPr>
          <w:sz w:val="24"/>
        </w:rPr>
        <w:t xml:space="preserve">To take a leading example, </w:t>
      </w:r>
      <w:r w:rsidR="00AC633A" w:rsidRPr="00647594">
        <w:rPr>
          <w:sz w:val="24"/>
        </w:rPr>
        <w:t>Kent’s ‘No Use Empty’ initiative mean</w:t>
      </w:r>
      <w:r w:rsidRPr="00647594">
        <w:rPr>
          <w:sz w:val="24"/>
        </w:rPr>
        <w:t xml:space="preserve">s </w:t>
      </w:r>
      <w:r w:rsidR="00AC633A" w:rsidRPr="00647594">
        <w:rPr>
          <w:sz w:val="24"/>
        </w:rPr>
        <w:t>that it has the necessary skills, resources and organisational framework to tackle a range of different issues</w:t>
      </w:r>
      <w:r w:rsidRPr="00647594">
        <w:rPr>
          <w:sz w:val="24"/>
        </w:rPr>
        <w:t xml:space="preserve">. Its generic solutions (such as its loan scheme) underpin a range of activities </w:t>
      </w:r>
      <w:r w:rsidR="00AC633A" w:rsidRPr="00647594">
        <w:rPr>
          <w:sz w:val="24"/>
        </w:rPr>
        <w:t xml:space="preserve">such as conversions of redundant commercial properties and ‘clusters of empties’ </w:t>
      </w:r>
      <w:r w:rsidR="0029661C">
        <w:rPr>
          <w:sz w:val="24"/>
        </w:rPr>
        <w:t>as well as individual empties. Its strategic approach</w:t>
      </w:r>
      <w:r w:rsidRPr="00647594">
        <w:rPr>
          <w:sz w:val="24"/>
        </w:rPr>
        <w:t xml:space="preserve"> enable</w:t>
      </w:r>
      <w:r w:rsidR="0029661C">
        <w:rPr>
          <w:sz w:val="24"/>
        </w:rPr>
        <w:t>s</w:t>
      </w:r>
      <w:r w:rsidRPr="00647594">
        <w:rPr>
          <w:sz w:val="24"/>
        </w:rPr>
        <w:t xml:space="preserve"> it to act nimbly and confidently to make use of new opportunities </w:t>
      </w:r>
      <w:r w:rsidR="0029661C">
        <w:rPr>
          <w:sz w:val="24"/>
        </w:rPr>
        <w:t xml:space="preserve">when they arise </w:t>
      </w:r>
      <w:r w:rsidRPr="00647594">
        <w:rPr>
          <w:sz w:val="24"/>
        </w:rPr>
        <w:t xml:space="preserve">(for example the </w:t>
      </w:r>
      <w:r w:rsidR="00C11908" w:rsidRPr="00647594">
        <w:rPr>
          <w:sz w:val="24"/>
        </w:rPr>
        <w:t xml:space="preserve">‘Clusters of Empties’ </w:t>
      </w:r>
      <w:r w:rsidR="001F7CE1">
        <w:rPr>
          <w:sz w:val="24"/>
        </w:rPr>
        <w:t>and</w:t>
      </w:r>
      <w:r w:rsidR="00C11908" w:rsidRPr="00647594">
        <w:rPr>
          <w:sz w:val="24"/>
        </w:rPr>
        <w:t xml:space="preserve"> HCA Empty Homes funding</w:t>
      </w:r>
      <w:r w:rsidR="001F7CE1">
        <w:rPr>
          <w:sz w:val="24"/>
        </w:rPr>
        <w:t>)</w:t>
      </w:r>
      <w:r w:rsidR="00C11908" w:rsidRPr="00647594">
        <w:rPr>
          <w:sz w:val="24"/>
        </w:rPr>
        <w:t>.</w:t>
      </w:r>
      <w:r w:rsidRPr="00647594">
        <w:rPr>
          <w:sz w:val="24"/>
        </w:rPr>
        <w:t xml:space="preserve"> </w:t>
      </w:r>
    </w:p>
    <w:p w:rsidR="009E5BF3" w:rsidRPr="00F759C6" w:rsidRDefault="009E5BF3" w:rsidP="00647594">
      <w:pPr>
        <w:spacing w:before="240" w:line="257" w:lineRule="auto"/>
        <w:rPr>
          <w:sz w:val="24"/>
        </w:rPr>
      </w:pPr>
      <w:r w:rsidRPr="00647594">
        <w:rPr>
          <w:b/>
          <w:sz w:val="24"/>
        </w:rPr>
        <w:t xml:space="preserve">The establishment of effective generic solutions in all local areas should thus be seen as a priority for policy. </w:t>
      </w:r>
      <w:r w:rsidR="00F759C6">
        <w:rPr>
          <w:b/>
          <w:sz w:val="24"/>
        </w:rPr>
        <w:t xml:space="preserve"> </w:t>
      </w:r>
      <w:r w:rsidR="00F759C6">
        <w:rPr>
          <w:sz w:val="24"/>
        </w:rPr>
        <w:t xml:space="preserve">This makes the creation of a national empty homes initiative along the lines found in Scotland and </w:t>
      </w:r>
      <w:proofErr w:type="gramStart"/>
      <w:r w:rsidR="00F759C6">
        <w:rPr>
          <w:sz w:val="24"/>
        </w:rPr>
        <w:t>Wales</w:t>
      </w:r>
      <w:proofErr w:type="gramEnd"/>
      <w:r w:rsidR="00F759C6">
        <w:rPr>
          <w:sz w:val="24"/>
        </w:rPr>
        <w:t xml:space="preserve"> all the more desirable. </w:t>
      </w:r>
    </w:p>
    <w:p w:rsidR="00647594" w:rsidRDefault="00647594">
      <w:pPr>
        <w:spacing w:after="0" w:line="240" w:lineRule="auto"/>
        <w:rPr>
          <w:rFonts w:ascii="Cambria" w:eastAsia="Times New Roman" w:hAnsi="Cambria"/>
          <w:b/>
          <w:bCs/>
          <w:noProof/>
          <w:color w:val="365F91"/>
          <w:sz w:val="36"/>
          <w:szCs w:val="36"/>
          <w:lang w:eastAsia="en-GB"/>
        </w:rPr>
      </w:pPr>
      <w:r>
        <w:br w:type="page"/>
      </w:r>
    </w:p>
    <w:p w:rsidR="005D6828" w:rsidRDefault="005D6828" w:rsidP="00647594">
      <w:pPr>
        <w:pStyle w:val="Heading2"/>
        <w:spacing w:line="257" w:lineRule="auto"/>
      </w:pPr>
      <w:r>
        <w:lastRenderedPageBreak/>
        <w:t>About the Empty Homes Network</w:t>
      </w:r>
    </w:p>
    <w:p w:rsidR="005D6828" w:rsidRPr="00647594" w:rsidRDefault="005D6828" w:rsidP="00647594">
      <w:pPr>
        <w:spacing w:line="257" w:lineRule="auto"/>
        <w:rPr>
          <w:rFonts w:cs="Arial"/>
          <w:sz w:val="24"/>
        </w:rPr>
      </w:pPr>
      <w:r w:rsidRPr="00647594">
        <w:rPr>
          <w:rFonts w:cs="Arial"/>
          <w:sz w:val="24"/>
        </w:rPr>
        <w:t xml:space="preserve">We are a national network launched in 2001 as the </w:t>
      </w:r>
      <w:r w:rsidRPr="00647594">
        <w:rPr>
          <w:rFonts w:cs="Arial"/>
          <w:i/>
          <w:sz w:val="24"/>
        </w:rPr>
        <w:t>National Association of Empty Property Practitioners</w:t>
      </w:r>
      <w:r w:rsidRPr="00647594">
        <w:rPr>
          <w:rFonts w:cs="Arial"/>
          <w:sz w:val="24"/>
        </w:rPr>
        <w:t xml:space="preserve"> with the support of the government and the Empty Homes Agency.  Since 2002 we have been fully independent. Whilst a significant majority of our 500 members work for local authorities in private sector housing, housing enabling and empty homes teams we also have members belonging to housing associations, regeneration companies, self-help housing organisations and private sector firms.  </w:t>
      </w:r>
    </w:p>
    <w:p w:rsidR="00A95DA1" w:rsidRDefault="00A95DA1" w:rsidP="00647594">
      <w:pPr>
        <w:spacing w:after="0" w:line="257" w:lineRule="auto"/>
        <w:rPr>
          <w:sz w:val="20"/>
          <w:szCs w:val="20"/>
        </w:rPr>
      </w:pPr>
      <w:r>
        <w:rPr>
          <w:sz w:val="20"/>
          <w:szCs w:val="20"/>
        </w:rPr>
        <w:t>Prepared for the Empty Homes Network by David Gibbens</w:t>
      </w:r>
    </w:p>
    <w:p w:rsidR="00A95DA1" w:rsidRDefault="005D6828" w:rsidP="00647594">
      <w:pPr>
        <w:spacing w:after="0" w:line="257" w:lineRule="auto"/>
        <w:rPr>
          <w:sz w:val="20"/>
          <w:szCs w:val="20"/>
        </w:rPr>
      </w:pPr>
      <w:r>
        <w:rPr>
          <w:sz w:val="20"/>
          <w:szCs w:val="20"/>
        </w:rPr>
        <w:t>26</w:t>
      </w:r>
      <w:r w:rsidR="00A95DA1" w:rsidRPr="00A95DA1">
        <w:rPr>
          <w:sz w:val="20"/>
          <w:szCs w:val="20"/>
          <w:vertAlign w:val="superscript"/>
        </w:rPr>
        <w:t>th</w:t>
      </w:r>
      <w:r w:rsidR="00A95DA1">
        <w:rPr>
          <w:sz w:val="20"/>
          <w:szCs w:val="20"/>
        </w:rPr>
        <w:t xml:space="preserve"> </w:t>
      </w:r>
      <w:r>
        <w:rPr>
          <w:sz w:val="20"/>
          <w:szCs w:val="20"/>
        </w:rPr>
        <w:t>August 2016</w:t>
      </w:r>
    </w:p>
    <w:p w:rsidR="00783D1A" w:rsidRPr="00647594" w:rsidRDefault="00783D1A" w:rsidP="00647594">
      <w:pPr>
        <w:shd w:val="clear" w:color="auto" w:fill="DAEEF3"/>
        <w:tabs>
          <w:tab w:val="left" w:pos="7020"/>
        </w:tabs>
        <w:spacing w:line="257" w:lineRule="auto"/>
        <w:ind w:left="2340" w:right="1798"/>
        <w:rPr>
          <w:rFonts w:ascii="Arial" w:hAnsi="Arial" w:cs="Arial"/>
          <w:b/>
          <w:i/>
          <w:color w:val="002060"/>
          <w:sz w:val="24"/>
          <w:szCs w:val="24"/>
        </w:rPr>
      </w:pPr>
      <w:r w:rsidRPr="00647594">
        <w:rPr>
          <w:rFonts w:ascii="Arial" w:hAnsi="Arial" w:cs="Arial"/>
          <w:b/>
          <w:i/>
          <w:color w:val="002060"/>
          <w:sz w:val="24"/>
          <w:szCs w:val="24"/>
        </w:rPr>
        <w:t>For further information or clarification</w:t>
      </w:r>
    </w:p>
    <w:p w:rsidR="00783D1A" w:rsidRPr="005711C1" w:rsidRDefault="00783D1A" w:rsidP="00647594">
      <w:pPr>
        <w:shd w:val="clear" w:color="auto" w:fill="DAEEF3"/>
        <w:spacing w:after="0" w:line="257" w:lineRule="auto"/>
        <w:ind w:left="2340" w:right="1798"/>
        <w:rPr>
          <w:i/>
          <w:sz w:val="20"/>
        </w:rPr>
      </w:pPr>
      <w:r w:rsidRPr="005711C1">
        <w:rPr>
          <w:i/>
          <w:sz w:val="20"/>
        </w:rPr>
        <w:t>Contact:</w:t>
      </w:r>
    </w:p>
    <w:p w:rsidR="00783D1A" w:rsidRPr="00682D13" w:rsidRDefault="00783D1A" w:rsidP="00647594">
      <w:pPr>
        <w:shd w:val="clear" w:color="auto" w:fill="DAEEF3"/>
        <w:spacing w:after="0" w:line="257" w:lineRule="auto"/>
        <w:ind w:left="2340" w:right="1798"/>
        <w:rPr>
          <w:sz w:val="20"/>
        </w:rPr>
      </w:pPr>
      <w:bookmarkStart w:id="1" w:name="_MailAutoSig"/>
      <w:r w:rsidRPr="00682D13">
        <w:rPr>
          <w:sz w:val="20"/>
        </w:rPr>
        <w:t>David Gibbens</w:t>
      </w:r>
      <w:r>
        <w:rPr>
          <w:sz w:val="20"/>
        </w:rPr>
        <w:t>,</w:t>
      </w:r>
      <w:r w:rsidR="00732770">
        <w:rPr>
          <w:sz w:val="20"/>
        </w:rPr>
        <w:t xml:space="preserve"> Policy Lead</w:t>
      </w:r>
      <w:r>
        <w:rPr>
          <w:sz w:val="20"/>
        </w:rPr>
        <w:t xml:space="preserve"> </w:t>
      </w:r>
    </w:p>
    <w:p w:rsidR="00783D1A" w:rsidRPr="00682D13" w:rsidRDefault="00783D1A" w:rsidP="00647594">
      <w:pPr>
        <w:shd w:val="clear" w:color="auto" w:fill="DAEEF3"/>
        <w:spacing w:after="0" w:line="257" w:lineRule="auto"/>
        <w:ind w:left="2340" w:right="1798"/>
        <w:rPr>
          <w:sz w:val="20"/>
        </w:rPr>
      </w:pPr>
      <w:r>
        <w:rPr>
          <w:sz w:val="20"/>
        </w:rPr>
        <w:t>Empty Homes Network</w:t>
      </w:r>
    </w:p>
    <w:p w:rsidR="00783D1A" w:rsidRDefault="00783D1A" w:rsidP="00647594">
      <w:pPr>
        <w:shd w:val="clear" w:color="auto" w:fill="DAEEF3"/>
        <w:spacing w:after="0" w:line="257" w:lineRule="auto"/>
        <w:ind w:left="2340" w:right="1798"/>
        <w:rPr>
          <w:sz w:val="20"/>
        </w:rPr>
      </w:pPr>
      <w:r w:rsidRPr="00682D13">
        <w:rPr>
          <w:sz w:val="20"/>
        </w:rPr>
        <w:t>PO Box 703, Exeter, EX1 9PX</w:t>
      </w:r>
    </w:p>
    <w:p w:rsidR="00783D1A" w:rsidRPr="00682D13" w:rsidRDefault="00783D1A" w:rsidP="00647594">
      <w:pPr>
        <w:shd w:val="clear" w:color="auto" w:fill="DAEEF3"/>
        <w:spacing w:after="0" w:line="257" w:lineRule="auto"/>
        <w:ind w:left="2340" w:right="1798"/>
        <w:rPr>
          <w:sz w:val="20"/>
        </w:rPr>
      </w:pPr>
      <w:r>
        <w:rPr>
          <w:sz w:val="20"/>
        </w:rPr>
        <w:t xml:space="preserve">Email: </w:t>
      </w:r>
      <w:hyperlink r:id="rId10" w:history="1">
        <w:r w:rsidR="00B12C6F">
          <w:rPr>
            <w:rStyle w:val="Hyperlink"/>
            <w:sz w:val="20"/>
          </w:rPr>
          <w:t>david.gibbens@ehnetwork.org.uk</w:t>
        </w:r>
      </w:hyperlink>
      <w:r>
        <w:rPr>
          <w:sz w:val="20"/>
        </w:rPr>
        <w:t xml:space="preserve"> </w:t>
      </w:r>
    </w:p>
    <w:p w:rsidR="00783D1A" w:rsidRPr="00682D13" w:rsidRDefault="00783D1A" w:rsidP="00647594">
      <w:pPr>
        <w:shd w:val="clear" w:color="auto" w:fill="DAEEF3"/>
        <w:spacing w:after="0" w:line="257" w:lineRule="auto"/>
        <w:ind w:left="2340" w:right="1798"/>
        <w:rPr>
          <w:sz w:val="20"/>
        </w:rPr>
      </w:pPr>
      <w:r w:rsidRPr="00682D13">
        <w:rPr>
          <w:sz w:val="20"/>
        </w:rPr>
        <w:t>Tel.:</w:t>
      </w:r>
      <w:r>
        <w:rPr>
          <w:sz w:val="20"/>
        </w:rPr>
        <w:t xml:space="preserve"> </w:t>
      </w:r>
      <w:r w:rsidRPr="00682D13">
        <w:rPr>
          <w:sz w:val="20"/>
        </w:rPr>
        <w:t xml:space="preserve"> </w:t>
      </w:r>
      <w:r w:rsidR="005D6828">
        <w:rPr>
          <w:sz w:val="20"/>
        </w:rPr>
        <w:t>0303 04 01 008 (leave message) or 07528 312932</w:t>
      </w:r>
    </w:p>
    <w:p w:rsidR="00FB6097" w:rsidRDefault="00783D1A" w:rsidP="00647594">
      <w:pPr>
        <w:shd w:val="clear" w:color="auto" w:fill="DAEEF3"/>
        <w:spacing w:after="0" w:line="257" w:lineRule="auto"/>
        <w:ind w:left="2340" w:right="2104"/>
        <w:rPr>
          <w:sz w:val="20"/>
        </w:rPr>
      </w:pPr>
      <w:r w:rsidRPr="00682D13">
        <w:rPr>
          <w:sz w:val="20"/>
        </w:rPr>
        <w:t xml:space="preserve">Web: </w:t>
      </w:r>
      <w:hyperlink r:id="rId11" w:history="1">
        <w:r w:rsidRPr="001F0F73">
          <w:rPr>
            <w:rStyle w:val="Hyperlink"/>
            <w:sz w:val="20"/>
          </w:rPr>
          <w:t>www.ehnetwork.org.uk</w:t>
        </w:r>
      </w:hyperlink>
      <w:bookmarkEnd w:id="1"/>
      <w:r>
        <w:rPr>
          <w:sz w:val="20"/>
        </w:rPr>
        <w:t xml:space="preserve"> </w:t>
      </w:r>
    </w:p>
    <w:p w:rsidR="00FB6097" w:rsidRPr="00647594" w:rsidRDefault="00F759C6" w:rsidP="00F759C6">
      <w:pPr>
        <w:pStyle w:val="Heading1"/>
      </w:pPr>
      <w:r>
        <w:t>NOTES</w:t>
      </w:r>
    </w:p>
    <w:sectPr w:rsidR="00FB6097" w:rsidRPr="00647594" w:rsidSect="00647594">
      <w:headerReference w:type="default" r:id="rId12"/>
      <w:footerReference w:type="default" r:id="rId13"/>
      <w:headerReference w:type="first" r:id="rId14"/>
      <w:footerReference w:type="first" r:id="rId15"/>
      <w:endnotePr>
        <w:numFmt w:val="decimal"/>
      </w:endnotePr>
      <w:pgSz w:w="11906" w:h="16838"/>
      <w:pgMar w:top="1440" w:right="1152" w:bottom="1008" w:left="1152" w:header="706" w:footer="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9F6" w:rsidRDefault="00AF49F6" w:rsidP="00AA16A9">
      <w:pPr>
        <w:spacing w:after="0" w:line="240" w:lineRule="auto"/>
      </w:pPr>
      <w:r>
        <w:separator/>
      </w:r>
    </w:p>
  </w:endnote>
  <w:endnote w:type="continuationSeparator" w:id="0">
    <w:p w:rsidR="00AF49F6" w:rsidRDefault="00AF49F6" w:rsidP="00AA16A9">
      <w:pPr>
        <w:spacing w:after="0" w:line="240" w:lineRule="auto"/>
      </w:pPr>
      <w:r>
        <w:continuationSeparator/>
      </w:r>
    </w:p>
  </w:endnote>
  <w:endnote w:id="1">
    <w:p w:rsidR="0071680F" w:rsidRDefault="0071680F">
      <w:pPr>
        <w:pStyle w:val="EndnoteText"/>
      </w:pPr>
      <w:r>
        <w:rPr>
          <w:rStyle w:val="EndnoteReference"/>
        </w:rPr>
        <w:endnoteRef/>
      </w:r>
      <w:r>
        <w:t xml:space="preserve"> See Kent’s No Use Empty </w:t>
      </w:r>
      <w:hyperlink r:id="rId1" w:history="1">
        <w:r w:rsidRPr="001F7CE1">
          <w:rPr>
            <w:rStyle w:val="Hyperlink"/>
            <w:i/>
          </w:rPr>
          <w:t>10</w:t>
        </w:r>
        <w:r w:rsidRPr="001F7CE1">
          <w:rPr>
            <w:rStyle w:val="Hyperlink"/>
            <w:i/>
            <w:vertAlign w:val="superscript"/>
          </w:rPr>
          <w:t>th</w:t>
        </w:r>
        <w:r w:rsidRPr="001F7CE1">
          <w:rPr>
            <w:rStyle w:val="Hyperlink"/>
            <w:i/>
          </w:rPr>
          <w:t xml:space="preserve"> Anniversary Newsletter</w:t>
        </w:r>
      </w:hyperlink>
      <w:r>
        <w:t xml:space="preserve">, which now estimates the net cost to the council of each empty brought back into use or created via conversion, funded from its loan scheme, as £1,900 per unit. The £1,900 is based on administration costs and lost interest (as Kent loans are interest free). Kent County Council estimates that each £1 spent levers in £20 of spending in the local economy (excluding multiplier effects).  For evidence of the Welsh loans scheme see the various evaluation reports at </w:t>
      </w:r>
      <w:hyperlink r:id="rId2" w:history="1">
        <w:proofErr w:type="spellStart"/>
        <w:r w:rsidRPr="00F24232">
          <w:rPr>
            <w:rStyle w:val="Hyperlink"/>
          </w:rPr>
          <w:t>gov.wales</w:t>
        </w:r>
        <w:proofErr w:type="spellEnd"/>
        <w:r w:rsidRPr="00F24232">
          <w:rPr>
            <w:rStyle w:val="Hyperlink"/>
          </w:rPr>
          <w:t>/statistics-and-research/houses-into-homes</w:t>
        </w:r>
      </w:hyperlink>
      <w:r>
        <w:t xml:space="preserve"> </w:t>
      </w:r>
    </w:p>
  </w:endnote>
  <w:endnote w:id="2">
    <w:p w:rsidR="0071680F" w:rsidRDefault="0071680F">
      <w:pPr>
        <w:pStyle w:val="EndnoteText"/>
      </w:pPr>
      <w:r>
        <w:rPr>
          <w:rStyle w:val="EndnoteReference"/>
        </w:rPr>
        <w:endnoteRef/>
      </w:r>
      <w:r>
        <w:t xml:space="preserve"> For Kent and Wales see above. For Scotland, see the </w:t>
      </w:r>
      <w:hyperlink r:id="rId3" w:history="1">
        <w:r w:rsidRPr="001F7CE1">
          <w:rPr>
            <w:rStyle w:val="Hyperlink"/>
          </w:rPr>
          <w:t>Annual Reports of the Scottish Empty Homes Partnership</w:t>
        </w:r>
      </w:hyperlink>
      <w:proofErr w:type="gramStart"/>
      <w:r>
        <w:t>..</w:t>
      </w:r>
      <w:proofErr w:type="gramEnd"/>
      <w:r>
        <w:t xml:space="preserve"> </w:t>
      </w:r>
    </w:p>
  </w:endnote>
  <w:endnote w:id="3">
    <w:p w:rsidR="0071680F" w:rsidRDefault="0071680F">
      <w:pPr>
        <w:pStyle w:val="EndnoteText"/>
      </w:pPr>
      <w:r>
        <w:rPr>
          <w:rStyle w:val="EndnoteReference"/>
        </w:rPr>
        <w:endnoteRef/>
      </w:r>
      <w:r>
        <w:t xml:space="preserve"> See Kent materials for evidence of a long-term sustainable strategy </w:t>
      </w:r>
      <w:r w:rsidR="002D5E28">
        <w:t>in action.</w:t>
      </w:r>
      <w:r>
        <w:t xml:space="preserve"> </w:t>
      </w:r>
    </w:p>
  </w:endnote>
  <w:endnote w:id="4">
    <w:p w:rsidR="0071680F" w:rsidRDefault="0071680F">
      <w:pPr>
        <w:pStyle w:val="EndnoteText"/>
      </w:pPr>
      <w:r>
        <w:rPr>
          <w:rStyle w:val="EndnoteReference"/>
        </w:rPr>
        <w:endnoteRef/>
      </w:r>
      <w:r>
        <w:t xml:space="preserve"> See material from Hull previously submitted to the Taskforce.</w:t>
      </w:r>
    </w:p>
  </w:endnote>
  <w:endnote w:id="5">
    <w:p w:rsidR="0071680F" w:rsidRDefault="0071680F">
      <w:pPr>
        <w:pStyle w:val="EndnoteText"/>
      </w:pPr>
      <w:r>
        <w:rPr>
          <w:rStyle w:val="EndnoteReference"/>
        </w:rPr>
        <w:endnoteRef/>
      </w:r>
      <w:r>
        <w:t xml:space="preserve"> See for example &lt;</w:t>
      </w:r>
      <w:hyperlink r:id="rId4" w:history="1">
        <w:r w:rsidRPr="00F24232">
          <w:rPr>
            <w:rStyle w:val="Hyperlink"/>
          </w:rPr>
          <w:t>http://www.gov.scot/Publications/2010/06/01113008/3</w:t>
        </w:r>
      </w:hyperlink>
      <w:r>
        <w:t>&gt; accessed 27</w:t>
      </w:r>
      <w:r w:rsidRPr="005A5CC3">
        <w:rPr>
          <w:vertAlign w:val="superscript"/>
        </w:rPr>
        <w:t>th</w:t>
      </w:r>
      <w:r>
        <w:t xml:space="preserve"> August 2016: ‘</w:t>
      </w:r>
      <w:proofErr w:type="gramStart"/>
      <w:r>
        <w:t>The</w:t>
      </w:r>
      <w:proofErr w:type="gramEnd"/>
      <w:r>
        <w:t xml:space="preserve"> repairs and maintenance - and decent homes in the public sector - aspect is more helpful [compared with new-build] in terms of economic impacts at the local level, supporting jobs and skills over the medium to longer term.’  In assessing the economic additionality of refurbishing empty homes </w:t>
      </w:r>
      <w:proofErr w:type="gramStart"/>
      <w:r>
        <w:t>a relative low levels</w:t>
      </w:r>
      <w:proofErr w:type="gramEnd"/>
      <w:r>
        <w:t xml:space="preserve"> of deadweight and leakage should be recognised. </w:t>
      </w:r>
    </w:p>
  </w:endnote>
  <w:endnote w:id="6">
    <w:p w:rsidR="0071680F" w:rsidRPr="0029661C" w:rsidRDefault="0071680F">
      <w:pPr>
        <w:pStyle w:val="EndnoteText"/>
      </w:pPr>
      <w:r>
        <w:rPr>
          <w:rStyle w:val="EndnoteReference"/>
        </w:rPr>
        <w:endnoteRef/>
      </w:r>
      <w:r>
        <w:t xml:space="preserve"> </w:t>
      </w:r>
      <w:r w:rsidR="002D5E28">
        <w:t xml:space="preserve">See </w:t>
      </w:r>
      <w:hyperlink r:id="rId5" w:history="1">
        <w:r w:rsidR="002D5E28" w:rsidRPr="0029661C">
          <w:rPr>
            <w:rStyle w:val="Hyperlink"/>
            <w:i/>
          </w:rPr>
          <w:t>Cutting Carbon Costs: Learning from Ge</w:t>
        </w:r>
        <w:r w:rsidR="0029661C" w:rsidRPr="0029661C">
          <w:rPr>
            <w:rStyle w:val="Hyperlink"/>
            <w:i/>
          </w:rPr>
          <w:t>rmany</w:t>
        </w:r>
        <w:r w:rsidR="002D5E28" w:rsidRPr="0029661C">
          <w:rPr>
            <w:rStyle w:val="Hyperlink"/>
            <w:i/>
          </w:rPr>
          <w:t xml:space="preserve">’s </w:t>
        </w:r>
        <w:r w:rsidR="0029661C" w:rsidRPr="0029661C">
          <w:rPr>
            <w:rStyle w:val="Hyperlink"/>
            <w:i/>
          </w:rPr>
          <w:t>Energy-Saving Programme</w:t>
        </w:r>
      </w:hyperlink>
      <w:r w:rsidR="0029661C">
        <w:rPr>
          <w:i/>
        </w:rPr>
        <w:t xml:space="preserve"> </w:t>
      </w:r>
      <w:r w:rsidR="0029661C">
        <w:t xml:space="preserve">by Anne Powers and Monica </w:t>
      </w:r>
      <w:proofErr w:type="spellStart"/>
      <w:r w:rsidR="0029661C">
        <w:t>Zulauf</w:t>
      </w:r>
      <w:proofErr w:type="spellEnd"/>
      <w:r w:rsidR="0029661C">
        <w:t>, LSE, 2011.</w:t>
      </w:r>
    </w:p>
  </w:endnote>
  <w:endnote w:id="7">
    <w:p w:rsidR="0029661C" w:rsidRDefault="0029661C">
      <w:pPr>
        <w:pStyle w:val="EndnoteText"/>
      </w:pPr>
      <w:r>
        <w:rPr>
          <w:rStyle w:val="EndnoteReference"/>
        </w:rPr>
        <w:endnoteRef/>
      </w:r>
      <w:r>
        <w:t xml:space="preserve"> There are no exemptions from the surcharges for local authorities and some community-led housing organisations.  See our response to the consultation on higher rates of SDLT at </w:t>
      </w:r>
      <w:hyperlink r:id="rId6" w:history="1">
        <w:r w:rsidRPr="00F24232">
          <w:rPr>
            <w:rStyle w:val="Hyperlink"/>
          </w:rPr>
          <w:t>http://www.ehnetwork.org.uk/library-item/higher-rates-sdlt-ehn-consultation-response</w:t>
        </w:r>
      </w:hyperlink>
      <w:r>
        <w:t xml:space="preserve"> regarding the second of these issues.</w:t>
      </w:r>
    </w:p>
  </w:endnote>
  <w:endnote w:id="8">
    <w:p w:rsidR="002D5E28" w:rsidRDefault="002D5E28">
      <w:pPr>
        <w:pStyle w:val="EndnoteText"/>
      </w:pPr>
      <w:r>
        <w:rPr>
          <w:rStyle w:val="EndnoteReference"/>
        </w:rPr>
        <w:endnoteRef/>
      </w:r>
      <w:r>
        <w:t xml:space="preserve"> The contributions of community-led housing organisations have been documented in research by the Birmingham University’s Housing and Communities Research Group – see </w:t>
      </w:r>
      <w:hyperlink r:id="rId7" w:history="1">
        <w:r w:rsidRPr="00F24232">
          <w:rPr>
            <w:rStyle w:val="Hyperlink"/>
          </w:rPr>
          <w:t>http://www.birmingham.ac.uk/research/activity/social-policy/housing-communities/publications/working-paper-series.aspx</w:t>
        </w:r>
      </w:hyperlink>
      <w:r>
        <w:t xml:space="preserve"> - summarised in their submission to the Taskforce: </w:t>
      </w:r>
      <w:hyperlink r:id="rId8" w:history="1">
        <w:r w:rsidRPr="00F24232">
          <w:rPr>
            <w:rStyle w:val="Hyperlink"/>
          </w:rPr>
          <w:t>http://www.birmingham.ac.uk/schools/social-policy/departments/social-policy-social-work/news-and-events/2016/07/housing-and-communities-group-submits-evidence-to-APPG.aspx</w:t>
        </w:r>
      </w:hyperlink>
      <w:r>
        <w:t xml:space="preserve"> </w:t>
      </w:r>
    </w:p>
  </w:endnote>
  <w:endnote w:id="9">
    <w:p w:rsidR="0029661C" w:rsidRDefault="0029661C">
      <w:pPr>
        <w:pStyle w:val="EndnoteText"/>
      </w:pPr>
      <w:r>
        <w:rPr>
          <w:rStyle w:val="EndnoteReference"/>
        </w:rPr>
        <w:endnoteRef/>
      </w:r>
      <w:r>
        <w:t xml:space="preserve"> See preceding note.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0F" w:rsidRDefault="0071680F" w:rsidP="00B0745B">
    <w:pPr>
      <w:pStyle w:val="Footer"/>
      <w:tabs>
        <w:tab w:val="clear" w:pos="4513"/>
        <w:tab w:val="clear" w:pos="9026"/>
        <w:tab w:val="right" w:pos="9180"/>
      </w:tabs>
    </w:pPr>
    <w:r w:rsidRPr="00B20669">
      <w:rPr>
        <w:i/>
        <w:sz w:val="18"/>
        <w:szCs w:val="18"/>
      </w:rPr>
      <w:fldChar w:fldCharType="begin"/>
    </w:r>
    <w:r w:rsidRPr="00B20669">
      <w:rPr>
        <w:i/>
        <w:sz w:val="18"/>
        <w:szCs w:val="18"/>
      </w:rPr>
      <w:instrText xml:space="preserve"> FILENAME   \* MERGEFORMAT </w:instrText>
    </w:r>
    <w:r w:rsidRPr="00B20669">
      <w:rPr>
        <w:i/>
        <w:sz w:val="18"/>
        <w:szCs w:val="18"/>
      </w:rPr>
      <w:fldChar w:fldCharType="separate"/>
    </w:r>
    <w:r>
      <w:rPr>
        <w:i/>
        <w:noProof/>
        <w:sz w:val="18"/>
        <w:szCs w:val="18"/>
      </w:rPr>
      <w:t>APPG2016-ConsultationResponse-EHNv1.docx</w:t>
    </w:r>
    <w:r w:rsidRPr="00B20669">
      <w:rPr>
        <w:i/>
        <w:sz w:val="18"/>
        <w:szCs w:val="18"/>
      </w:rPr>
      <w:fldChar w:fldCharType="end"/>
    </w:r>
    <w:r>
      <w:rPr>
        <w:i/>
        <w:sz w:val="18"/>
        <w:szCs w:val="18"/>
      </w:rPr>
      <w:t xml:space="preserve">           Last saved: </w:t>
    </w:r>
    <w:r>
      <w:rPr>
        <w:i/>
        <w:sz w:val="18"/>
        <w:szCs w:val="18"/>
      </w:rPr>
      <w:fldChar w:fldCharType="begin"/>
    </w:r>
    <w:r>
      <w:rPr>
        <w:i/>
        <w:sz w:val="18"/>
        <w:szCs w:val="18"/>
      </w:rPr>
      <w:instrText xml:space="preserve"> SAVEDATE   \* MERGEFORMAT </w:instrText>
    </w:r>
    <w:r>
      <w:rPr>
        <w:i/>
        <w:sz w:val="18"/>
        <w:szCs w:val="18"/>
      </w:rPr>
      <w:fldChar w:fldCharType="separate"/>
    </w:r>
    <w:r w:rsidR="00F759C6">
      <w:rPr>
        <w:i/>
        <w:noProof/>
        <w:sz w:val="18"/>
        <w:szCs w:val="18"/>
      </w:rPr>
      <w:t>28/08/2016 17:59:00</w:t>
    </w:r>
    <w:r>
      <w:rPr>
        <w:i/>
        <w:sz w:val="18"/>
        <w:szCs w:val="18"/>
      </w:rPr>
      <w:fldChar w:fldCharType="end"/>
    </w:r>
    <w:r>
      <w:rPr>
        <w:i/>
        <w:sz w:val="18"/>
        <w:szCs w:val="18"/>
      </w:rPr>
      <w:fldChar w:fldCharType="begin"/>
    </w:r>
    <w:r>
      <w:rPr>
        <w:i/>
        <w:sz w:val="18"/>
        <w:szCs w:val="18"/>
      </w:rPr>
      <w:instrText xml:space="preserve"> PAGE   \* MERGEFORMAT </w:instrText>
    </w:r>
    <w:r>
      <w:rPr>
        <w:i/>
        <w:sz w:val="18"/>
        <w:szCs w:val="18"/>
      </w:rPr>
      <w:fldChar w:fldCharType="separate"/>
    </w:r>
    <w:r w:rsidR="00D25DC8">
      <w:rPr>
        <w:i/>
        <w:noProof/>
        <w:sz w:val="18"/>
        <w:szCs w:val="18"/>
      </w:rPr>
      <w:t>6</w:t>
    </w:r>
    <w:r>
      <w:rPr>
        <w:i/>
        <w:sz w:val="18"/>
        <w:szCs w:val="18"/>
      </w:rPr>
      <w:fldChar w:fldCharType="end"/>
    </w:r>
    <w:r>
      <w:rPr>
        <w:i/>
        <w:sz w:val="18"/>
        <w:szCs w:val="18"/>
      </w:rPr>
      <w:tab/>
    </w:r>
    <w:r>
      <w:t xml:space="preserve">Page </w:t>
    </w:r>
    <w:r>
      <w:fldChar w:fldCharType="begin"/>
    </w:r>
    <w:r>
      <w:instrText xml:space="preserve"> PAGE   \* MERGEFORMAT </w:instrText>
    </w:r>
    <w:r>
      <w:fldChar w:fldCharType="separate"/>
    </w:r>
    <w:r w:rsidR="00D25DC8">
      <w:rPr>
        <w:noProof/>
      </w:rPr>
      <w:t>6</w:t>
    </w:r>
    <w:r>
      <w:fldChar w:fldCharType="end"/>
    </w:r>
    <w:r>
      <w:t xml:space="preserve"> of </w:t>
    </w:r>
    <w:r w:rsidR="00AF49F6">
      <w:fldChar w:fldCharType="begin"/>
    </w:r>
    <w:r w:rsidR="00AF49F6">
      <w:instrText xml:space="preserve"> NUMPAGES   \* MERGEFORMAT </w:instrText>
    </w:r>
    <w:r w:rsidR="00AF49F6">
      <w:fldChar w:fldCharType="separate"/>
    </w:r>
    <w:r w:rsidR="00D25DC8">
      <w:rPr>
        <w:noProof/>
      </w:rPr>
      <w:t>6</w:t>
    </w:r>
    <w:r w:rsidR="00AF49F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0F" w:rsidRDefault="0071680F" w:rsidP="00144D16">
    <w:pPr>
      <w:pStyle w:val="Footer"/>
      <w:tabs>
        <w:tab w:val="clear" w:pos="4513"/>
      </w:tabs>
    </w:pPr>
    <w:r w:rsidRPr="00B20669">
      <w:rPr>
        <w:i/>
        <w:sz w:val="18"/>
        <w:szCs w:val="18"/>
      </w:rPr>
      <w:fldChar w:fldCharType="begin"/>
    </w:r>
    <w:r w:rsidRPr="00B20669">
      <w:rPr>
        <w:i/>
        <w:sz w:val="18"/>
        <w:szCs w:val="18"/>
      </w:rPr>
      <w:instrText xml:space="preserve"> FILENAME   \* MERGEFORMAT </w:instrText>
    </w:r>
    <w:r w:rsidRPr="00B20669">
      <w:rPr>
        <w:i/>
        <w:sz w:val="18"/>
        <w:szCs w:val="18"/>
      </w:rPr>
      <w:fldChar w:fldCharType="separate"/>
    </w:r>
    <w:r>
      <w:rPr>
        <w:i/>
        <w:noProof/>
        <w:sz w:val="18"/>
        <w:szCs w:val="18"/>
      </w:rPr>
      <w:t>APPG2016-ConsultationResponse-EHNv1.docx</w:t>
    </w:r>
    <w:r w:rsidRPr="00B20669">
      <w:rPr>
        <w:i/>
        <w:sz w:val="18"/>
        <w:szCs w:val="18"/>
      </w:rPr>
      <w:fldChar w:fldCharType="end"/>
    </w:r>
    <w:r>
      <w:rPr>
        <w:i/>
        <w:sz w:val="18"/>
        <w:szCs w:val="18"/>
      </w:rPr>
      <w:tab/>
      <w:t xml:space="preserve">Last saved: </w:t>
    </w:r>
    <w:r>
      <w:rPr>
        <w:i/>
        <w:sz w:val="18"/>
        <w:szCs w:val="18"/>
      </w:rPr>
      <w:fldChar w:fldCharType="begin"/>
    </w:r>
    <w:r>
      <w:rPr>
        <w:i/>
        <w:sz w:val="18"/>
        <w:szCs w:val="18"/>
      </w:rPr>
      <w:instrText xml:space="preserve"> SAVEDATE   \* MERGEFORMAT </w:instrText>
    </w:r>
    <w:r>
      <w:rPr>
        <w:i/>
        <w:sz w:val="18"/>
        <w:szCs w:val="18"/>
      </w:rPr>
      <w:fldChar w:fldCharType="separate"/>
    </w:r>
    <w:r w:rsidR="00F759C6">
      <w:rPr>
        <w:i/>
        <w:noProof/>
        <w:sz w:val="18"/>
        <w:szCs w:val="18"/>
      </w:rPr>
      <w:t>28/08/2016 17:59:00</w:t>
    </w:r>
    <w:r>
      <w:rPr>
        <w:i/>
        <w:sz w:val="18"/>
        <w:szCs w:val="18"/>
      </w:rPr>
      <w:fldChar w:fldCharType="end"/>
    </w:r>
    <w:r>
      <w:rPr>
        <w:i/>
        <w:sz w:val="18"/>
        <w:szCs w:val="18"/>
      </w:rPr>
      <w:fldChar w:fldCharType="begin"/>
    </w:r>
    <w:r>
      <w:rPr>
        <w:i/>
        <w:sz w:val="18"/>
        <w:szCs w:val="18"/>
      </w:rPr>
      <w:instrText xml:space="preserve"> PAGE   \* MERGEFORMAT </w:instrText>
    </w:r>
    <w:r>
      <w:rPr>
        <w:i/>
        <w:sz w:val="18"/>
        <w:szCs w:val="18"/>
      </w:rPr>
      <w:fldChar w:fldCharType="separate"/>
    </w:r>
    <w:r w:rsidR="00D25DC8">
      <w:rPr>
        <w:i/>
        <w:noProof/>
        <w:sz w:val="18"/>
        <w:szCs w:val="18"/>
      </w:rPr>
      <w:t>1</w:t>
    </w:r>
    <w:r>
      <w:rP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9F6" w:rsidRDefault="00AF49F6" w:rsidP="00AA16A9">
      <w:pPr>
        <w:spacing w:after="0" w:line="240" w:lineRule="auto"/>
      </w:pPr>
      <w:r>
        <w:separator/>
      </w:r>
    </w:p>
  </w:footnote>
  <w:footnote w:type="continuationSeparator" w:id="0">
    <w:p w:rsidR="00AF49F6" w:rsidRDefault="00AF49F6" w:rsidP="00AA1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0F" w:rsidRPr="00903A81" w:rsidRDefault="0071680F">
    <w:pPr>
      <w:pStyle w:val="Header"/>
      <w:rPr>
        <w:sz w:val="28"/>
        <w:szCs w:val="28"/>
      </w:rPr>
    </w:pPr>
    <w:r w:rsidRPr="00903A81">
      <w:rPr>
        <w:sz w:val="28"/>
        <w:szCs w:val="28"/>
      </w:rPr>
      <w:t xml:space="preserve">D R A F 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0F" w:rsidRPr="005D6828" w:rsidRDefault="0071680F" w:rsidP="00111E94">
    <w:pPr>
      <w:pStyle w:val="Header"/>
      <w:jc w:val="center"/>
      <w:rPr>
        <w:b/>
        <w:sz w:val="28"/>
        <w:szCs w:val="28"/>
      </w:rPr>
    </w:pPr>
    <w:r w:rsidRPr="005D6828">
      <w:rPr>
        <w:b/>
        <w:sz w:val="28"/>
        <w:szCs w:val="28"/>
      </w:rPr>
      <w:t>All-Party Parliamentary Group on Housing and Planning</w:t>
    </w:r>
  </w:p>
  <w:p w:rsidR="0071680F" w:rsidRDefault="0071680F" w:rsidP="00FA58AD">
    <w:pPr>
      <w:pStyle w:val="Header"/>
      <w:tabs>
        <w:tab w:val="clear" w:pos="9026"/>
        <w:tab w:val="left" w:pos="8080"/>
      </w:tabs>
      <w:ind w:right="828"/>
      <w:jc w:val="center"/>
      <w:rPr>
        <w:b/>
        <w:sz w:val="28"/>
        <w:szCs w:val="28"/>
      </w:rPr>
    </w:pPr>
    <w:r>
      <w:rPr>
        <w:b/>
        <w:sz w:val="28"/>
        <w:szCs w:val="28"/>
      </w:rPr>
      <w:t>National Housing Taskforce</w:t>
    </w:r>
  </w:p>
  <w:p w:rsidR="0071680F" w:rsidRPr="005D6828" w:rsidRDefault="0071680F" w:rsidP="00507414">
    <w:pPr>
      <w:pStyle w:val="Header"/>
      <w:jc w:val="center"/>
      <w:rPr>
        <w:b/>
        <w:sz w:val="28"/>
        <w:szCs w:val="28"/>
      </w:rPr>
    </w:pPr>
    <w:r>
      <w:rPr>
        <w:b/>
        <w:sz w:val="28"/>
        <w:szCs w:val="28"/>
      </w:rPr>
      <w:t>Submission</w:t>
    </w:r>
    <w:r w:rsidRPr="005D6828">
      <w:rPr>
        <w:b/>
        <w:sz w:val="28"/>
        <w:szCs w:val="28"/>
      </w:rPr>
      <w:t xml:space="preserve"> </w:t>
    </w:r>
    <w:r w:rsidR="00F759C6">
      <w:rPr>
        <w:b/>
        <w:sz w:val="28"/>
        <w:szCs w:val="28"/>
      </w:rPr>
      <w:t xml:space="preserve">regarding Clusters of </w:t>
    </w:r>
    <w:proofErr w:type="gramStart"/>
    <w:r w:rsidR="00F759C6">
      <w:rPr>
        <w:b/>
        <w:sz w:val="28"/>
        <w:szCs w:val="28"/>
      </w:rPr>
      <w:t>Empties  -</w:t>
    </w:r>
    <w:proofErr w:type="gramEnd"/>
    <w:r w:rsidR="00F759C6">
      <w:rPr>
        <w:b/>
        <w:sz w:val="28"/>
        <w:szCs w:val="28"/>
      </w:rPr>
      <w:t xml:space="preserve"> </w:t>
    </w:r>
    <w:r>
      <w:rPr>
        <w:b/>
        <w:sz w:val="28"/>
        <w:szCs w:val="28"/>
      </w:rPr>
      <w:t>D R A F 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61EC"/>
    <w:multiLevelType w:val="hybridMultilevel"/>
    <w:tmpl w:val="D37A8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AF500D"/>
    <w:multiLevelType w:val="hybridMultilevel"/>
    <w:tmpl w:val="AA54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D4ACF"/>
    <w:multiLevelType w:val="hybridMultilevel"/>
    <w:tmpl w:val="3A9C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0853CC"/>
    <w:multiLevelType w:val="hybridMultilevel"/>
    <w:tmpl w:val="F18AD8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08AD7AA1"/>
    <w:multiLevelType w:val="hybridMultilevel"/>
    <w:tmpl w:val="ADD680E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206B2D"/>
    <w:multiLevelType w:val="hybridMultilevel"/>
    <w:tmpl w:val="3280B3D8"/>
    <w:lvl w:ilvl="0" w:tplc="D1F2BA6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5158CF"/>
    <w:multiLevelType w:val="hybridMultilevel"/>
    <w:tmpl w:val="97A4DF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A5521A"/>
    <w:multiLevelType w:val="hybridMultilevel"/>
    <w:tmpl w:val="D450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717169"/>
    <w:multiLevelType w:val="hybridMultilevel"/>
    <w:tmpl w:val="2586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1C1050"/>
    <w:multiLevelType w:val="hybridMultilevel"/>
    <w:tmpl w:val="66B8FA96"/>
    <w:lvl w:ilvl="0" w:tplc="D1F2BA6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DC3ECD"/>
    <w:multiLevelType w:val="hybridMultilevel"/>
    <w:tmpl w:val="EB9E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433994"/>
    <w:multiLevelType w:val="hybridMultilevel"/>
    <w:tmpl w:val="481CC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F21760"/>
    <w:multiLevelType w:val="hybridMultilevel"/>
    <w:tmpl w:val="FB38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F96D86"/>
    <w:multiLevelType w:val="hybridMultilevel"/>
    <w:tmpl w:val="B25AB3EE"/>
    <w:lvl w:ilvl="0" w:tplc="58D67284">
      <w:numFmt w:val="bullet"/>
      <w:lvlText w:val=""/>
      <w:lvlJc w:val="left"/>
      <w:pPr>
        <w:ind w:left="2160" w:hanging="360"/>
      </w:pPr>
      <w:rPr>
        <w:rFonts w:ascii="Wingdings" w:eastAsia="Calibri" w:hAnsi="Wingdings"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2AB10E73"/>
    <w:multiLevelType w:val="hybridMultilevel"/>
    <w:tmpl w:val="A17C7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2B37C7"/>
    <w:multiLevelType w:val="hybridMultilevel"/>
    <w:tmpl w:val="0400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F06B9F"/>
    <w:multiLevelType w:val="hybridMultilevel"/>
    <w:tmpl w:val="0044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797ED1"/>
    <w:multiLevelType w:val="hybridMultilevel"/>
    <w:tmpl w:val="BA28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9129AF"/>
    <w:multiLevelType w:val="hybridMultilevel"/>
    <w:tmpl w:val="9F9E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7C1C99"/>
    <w:multiLevelType w:val="hybridMultilevel"/>
    <w:tmpl w:val="8CFC4C70"/>
    <w:lvl w:ilvl="0" w:tplc="58D67284">
      <w:numFmt w:val="bullet"/>
      <w:lvlText w:val=""/>
      <w:lvlJc w:val="left"/>
      <w:pPr>
        <w:ind w:left="216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F90206"/>
    <w:multiLevelType w:val="hybridMultilevel"/>
    <w:tmpl w:val="473064D8"/>
    <w:lvl w:ilvl="0" w:tplc="91B0B52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4609BE"/>
    <w:multiLevelType w:val="hybridMultilevel"/>
    <w:tmpl w:val="0284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F2281E"/>
    <w:multiLevelType w:val="hybridMultilevel"/>
    <w:tmpl w:val="84D687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1E7761"/>
    <w:multiLevelType w:val="hybridMultilevel"/>
    <w:tmpl w:val="14485A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8405220"/>
    <w:multiLevelType w:val="hybridMultilevel"/>
    <w:tmpl w:val="979A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903CCF"/>
    <w:multiLevelType w:val="hybridMultilevel"/>
    <w:tmpl w:val="3FDC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D807AF"/>
    <w:multiLevelType w:val="hybridMultilevel"/>
    <w:tmpl w:val="DC38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DD6537"/>
    <w:multiLevelType w:val="hybridMultilevel"/>
    <w:tmpl w:val="7B64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A21BDC"/>
    <w:multiLevelType w:val="hybridMultilevel"/>
    <w:tmpl w:val="1402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746065"/>
    <w:multiLevelType w:val="hybridMultilevel"/>
    <w:tmpl w:val="B7D4C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C8D797C"/>
    <w:multiLevelType w:val="hybridMultilevel"/>
    <w:tmpl w:val="2168F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84608F"/>
    <w:multiLevelType w:val="hybridMultilevel"/>
    <w:tmpl w:val="535C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5"/>
  </w:num>
  <w:num w:numId="4">
    <w:abstractNumId w:val="9"/>
  </w:num>
  <w:num w:numId="5">
    <w:abstractNumId w:val="14"/>
  </w:num>
  <w:num w:numId="6">
    <w:abstractNumId w:val="18"/>
  </w:num>
  <w:num w:numId="7">
    <w:abstractNumId w:val="24"/>
  </w:num>
  <w:num w:numId="8">
    <w:abstractNumId w:val="27"/>
  </w:num>
  <w:num w:numId="9">
    <w:abstractNumId w:val="10"/>
  </w:num>
  <w:num w:numId="10">
    <w:abstractNumId w:val="12"/>
  </w:num>
  <w:num w:numId="11">
    <w:abstractNumId w:val="31"/>
  </w:num>
  <w:num w:numId="12">
    <w:abstractNumId w:val="30"/>
  </w:num>
  <w:num w:numId="13">
    <w:abstractNumId w:val="29"/>
  </w:num>
  <w:num w:numId="14">
    <w:abstractNumId w:val="8"/>
  </w:num>
  <w:num w:numId="15">
    <w:abstractNumId w:val="1"/>
  </w:num>
  <w:num w:numId="16">
    <w:abstractNumId w:val="20"/>
  </w:num>
  <w:num w:numId="17">
    <w:abstractNumId w:val="13"/>
  </w:num>
  <w:num w:numId="18">
    <w:abstractNumId w:val="19"/>
  </w:num>
  <w:num w:numId="19">
    <w:abstractNumId w:val="16"/>
  </w:num>
  <w:num w:numId="20">
    <w:abstractNumId w:val="26"/>
  </w:num>
  <w:num w:numId="21">
    <w:abstractNumId w:val="28"/>
  </w:num>
  <w:num w:numId="22">
    <w:abstractNumId w:val="2"/>
  </w:num>
  <w:num w:numId="23">
    <w:abstractNumId w:val="7"/>
  </w:num>
  <w:num w:numId="24">
    <w:abstractNumId w:val="11"/>
  </w:num>
  <w:num w:numId="25">
    <w:abstractNumId w:val="21"/>
  </w:num>
  <w:num w:numId="26">
    <w:abstractNumId w:val="3"/>
  </w:num>
  <w:num w:numId="27">
    <w:abstractNumId w:val="15"/>
  </w:num>
  <w:num w:numId="28">
    <w:abstractNumId w:val="4"/>
  </w:num>
  <w:num w:numId="29">
    <w:abstractNumId w:val="17"/>
  </w:num>
  <w:num w:numId="30">
    <w:abstractNumId w:val="0"/>
  </w:num>
  <w:num w:numId="31">
    <w:abstractNumId w:val="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FD"/>
    <w:rsid w:val="0000451C"/>
    <w:rsid w:val="000124B2"/>
    <w:rsid w:val="0001438B"/>
    <w:rsid w:val="00015B1B"/>
    <w:rsid w:val="000268B0"/>
    <w:rsid w:val="0003384A"/>
    <w:rsid w:val="00035695"/>
    <w:rsid w:val="00035783"/>
    <w:rsid w:val="000405AC"/>
    <w:rsid w:val="0004172D"/>
    <w:rsid w:val="00042BBB"/>
    <w:rsid w:val="00092597"/>
    <w:rsid w:val="000A6019"/>
    <w:rsid w:val="000A6580"/>
    <w:rsid w:val="000A7144"/>
    <w:rsid w:val="000B265B"/>
    <w:rsid w:val="000C54A6"/>
    <w:rsid w:val="000D3414"/>
    <w:rsid w:val="000D57AD"/>
    <w:rsid w:val="000E5BBB"/>
    <w:rsid w:val="00103085"/>
    <w:rsid w:val="00111E94"/>
    <w:rsid w:val="001201CC"/>
    <w:rsid w:val="00127CE2"/>
    <w:rsid w:val="0013072D"/>
    <w:rsid w:val="00144D16"/>
    <w:rsid w:val="00153A64"/>
    <w:rsid w:val="0015520A"/>
    <w:rsid w:val="00160743"/>
    <w:rsid w:val="00160B30"/>
    <w:rsid w:val="00177185"/>
    <w:rsid w:val="00192292"/>
    <w:rsid w:val="00193848"/>
    <w:rsid w:val="00194F60"/>
    <w:rsid w:val="001975A4"/>
    <w:rsid w:val="001A0D32"/>
    <w:rsid w:val="001A23C1"/>
    <w:rsid w:val="001B0CBE"/>
    <w:rsid w:val="001B14B6"/>
    <w:rsid w:val="001B38F9"/>
    <w:rsid w:val="001C1D80"/>
    <w:rsid w:val="001D21B7"/>
    <w:rsid w:val="001E4443"/>
    <w:rsid w:val="001F7CE1"/>
    <w:rsid w:val="00201927"/>
    <w:rsid w:val="002105A2"/>
    <w:rsid w:val="002214D2"/>
    <w:rsid w:val="00224972"/>
    <w:rsid w:val="00230D09"/>
    <w:rsid w:val="00233442"/>
    <w:rsid w:val="00234D9A"/>
    <w:rsid w:val="00247A7A"/>
    <w:rsid w:val="002500F8"/>
    <w:rsid w:val="0025085B"/>
    <w:rsid w:val="00266AC9"/>
    <w:rsid w:val="002933A9"/>
    <w:rsid w:val="00295DAF"/>
    <w:rsid w:val="002965F6"/>
    <w:rsid w:val="0029661C"/>
    <w:rsid w:val="002B674C"/>
    <w:rsid w:val="002D26FA"/>
    <w:rsid w:val="002D45AF"/>
    <w:rsid w:val="002D5376"/>
    <w:rsid w:val="002D5E28"/>
    <w:rsid w:val="002D660C"/>
    <w:rsid w:val="002F3512"/>
    <w:rsid w:val="002F5A0A"/>
    <w:rsid w:val="003000B5"/>
    <w:rsid w:val="00302B31"/>
    <w:rsid w:val="003078D2"/>
    <w:rsid w:val="00314E3B"/>
    <w:rsid w:val="0032267E"/>
    <w:rsid w:val="00324A46"/>
    <w:rsid w:val="00327E23"/>
    <w:rsid w:val="00334D2C"/>
    <w:rsid w:val="00340E18"/>
    <w:rsid w:val="00350C5B"/>
    <w:rsid w:val="003628CE"/>
    <w:rsid w:val="003748E2"/>
    <w:rsid w:val="003751D2"/>
    <w:rsid w:val="003753A1"/>
    <w:rsid w:val="0038412B"/>
    <w:rsid w:val="00395C23"/>
    <w:rsid w:val="003A7CCF"/>
    <w:rsid w:val="003C044A"/>
    <w:rsid w:val="003C6D44"/>
    <w:rsid w:val="003D2117"/>
    <w:rsid w:val="00404336"/>
    <w:rsid w:val="0040664B"/>
    <w:rsid w:val="004103DB"/>
    <w:rsid w:val="0041494D"/>
    <w:rsid w:val="004153B8"/>
    <w:rsid w:val="0042339D"/>
    <w:rsid w:val="00427E65"/>
    <w:rsid w:val="00431078"/>
    <w:rsid w:val="004515A0"/>
    <w:rsid w:val="00454913"/>
    <w:rsid w:val="00456C45"/>
    <w:rsid w:val="00466B81"/>
    <w:rsid w:val="004826F1"/>
    <w:rsid w:val="00491835"/>
    <w:rsid w:val="004975BD"/>
    <w:rsid w:val="004A09D9"/>
    <w:rsid w:val="004C2819"/>
    <w:rsid w:val="004C4ACE"/>
    <w:rsid w:val="004C6855"/>
    <w:rsid w:val="004D287C"/>
    <w:rsid w:val="004D2B21"/>
    <w:rsid w:val="004D36DD"/>
    <w:rsid w:val="004F4B8A"/>
    <w:rsid w:val="005030DA"/>
    <w:rsid w:val="00505038"/>
    <w:rsid w:val="00507414"/>
    <w:rsid w:val="00527F05"/>
    <w:rsid w:val="00532C77"/>
    <w:rsid w:val="00536DF6"/>
    <w:rsid w:val="00541CCA"/>
    <w:rsid w:val="00573A63"/>
    <w:rsid w:val="005810F3"/>
    <w:rsid w:val="00585C23"/>
    <w:rsid w:val="00586437"/>
    <w:rsid w:val="00594C71"/>
    <w:rsid w:val="005A5CC3"/>
    <w:rsid w:val="005C636B"/>
    <w:rsid w:val="005C7388"/>
    <w:rsid w:val="005D0B5B"/>
    <w:rsid w:val="005D6828"/>
    <w:rsid w:val="005D7942"/>
    <w:rsid w:val="005E21D0"/>
    <w:rsid w:val="005F217E"/>
    <w:rsid w:val="006046BC"/>
    <w:rsid w:val="00615DF4"/>
    <w:rsid w:val="006230FB"/>
    <w:rsid w:val="00627AC3"/>
    <w:rsid w:val="006316F5"/>
    <w:rsid w:val="006410A7"/>
    <w:rsid w:val="00647594"/>
    <w:rsid w:val="006516BF"/>
    <w:rsid w:val="0065340A"/>
    <w:rsid w:val="00655C85"/>
    <w:rsid w:val="00666557"/>
    <w:rsid w:val="00685277"/>
    <w:rsid w:val="006A16EE"/>
    <w:rsid w:val="006B3EF4"/>
    <w:rsid w:val="006B4839"/>
    <w:rsid w:val="006B6D25"/>
    <w:rsid w:val="006C37FE"/>
    <w:rsid w:val="006F6EEC"/>
    <w:rsid w:val="006F7A0B"/>
    <w:rsid w:val="007024B8"/>
    <w:rsid w:val="0071063F"/>
    <w:rsid w:val="0071680F"/>
    <w:rsid w:val="00720893"/>
    <w:rsid w:val="0072317F"/>
    <w:rsid w:val="00731266"/>
    <w:rsid w:val="00732770"/>
    <w:rsid w:val="0073393F"/>
    <w:rsid w:val="007471A5"/>
    <w:rsid w:val="00753578"/>
    <w:rsid w:val="007726B3"/>
    <w:rsid w:val="00774CBB"/>
    <w:rsid w:val="00783D1A"/>
    <w:rsid w:val="007966DD"/>
    <w:rsid w:val="007969E0"/>
    <w:rsid w:val="007A39AC"/>
    <w:rsid w:val="007B78FE"/>
    <w:rsid w:val="007D5974"/>
    <w:rsid w:val="007E30FC"/>
    <w:rsid w:val="007F7140"/>
    <w:rsid w:val="00803E3C"/>
    <w:rsid w:val="00805040"/>
    <w:rsid w:val="00824AF5"/>
    <w:rsid w:val="00836301"/>
    <w:rsid w:val="008638DE"/>
    <w:rsid w:val="00872BD8"/>
    <w:rsid w:val="008854BC"/>
    <w:rsid w:val="00893DAE"/>
    <w:rsid w:val="008A593E"/>
    <w:rsid w:val="008A69F2"/>
    <w:rsid w:val="008B38EA"/>
    <w:rsid w:val="008D1A86"/>
    <w:rsid w:val="008E2B0F"/>
    <w:rsid w:val="008E5893"/>
    <w:rsid w:val="00903A81"/>
    <w:rsid w:val="00920D4A"/>
    <w:rsid w:val="0093306F"/>
    <w:rsid w:val="009419E8"/>
    <w:rsid w:val="009455FD"/>
    <w:rsid w:val="00963891"/>
    <w:rsid w:val="009755D4"/>
    <w:rsid w:val="00981075"/>
    <w:rsid w:val="00982AEA"/>
    <w:rsid w:val="00987208"/>
    <w:rsid w:val="00990105"/>
    <w:rsid w:val="0099339A"/>
    <w:rsid w:val="009A4B5E"/>
    <w:rsid w:val="009A4C9A"/>
    <w:rsid w:val="009A638F"/>
    <w:rsid w:val="009A7679"/>
    <w:rsid w:val="009C0524"/>
    <w:rsid w:val="009C11DB"/>
    <w:rsid w:val="009C6B70"/>
    <w:rsid w:val="009D2829"/>
    <w:rsid w:val="009E3E8C"/>
    <w:rsid w:val="009E5BF3"/>
    <w:rsid w:val="009E6EE4"/>
    <w:rsid w:val="009F6953"/>
    <w:rsid w:val="00A00ADF"/>
    <w:rsid w:val="00A05436"/>
    <w:rsid w:val="00A1261F"/>
    <w:rsid w:val="00A13A33"/>
    <w:rsid w:val="00A13C04"/>
    <w:rsid w:val="00A36222"/>
    <w:rsid w:val="00A5594F"/>
    <w:rsid w:val="00A6031B"/>
    <w:rsid w:val="00A60D19"/>
    <w:rsid w:val="00A66A7A"/>
    <w:rsid w:val="00A726CA"/>
    <w:rsid w:val="00A87383"/>
    <w:rsid w:val="00A9123F"/>
    <w:rsid w:val="00A93D0E"/>
    <w:rsid w:val="00A95319"/>
    <w:rsid w:val="00A95DA1"/>
    <w:rsid w:val="00AA16A9"/>
    <w:rsid w:val="00AA2D9C"/>
    <w:rsid w:val="00AB4C19"/>
    <w:rsid w:val="00AC384E"/>
    <w:rsid w:val="00AC38F7"/>
    <w:rsid w:val="00AC633A"/>
    <w:rsid w:val="00AD20C4"/>
    <w:rsid w:val="00AD3E26"/>
    <w:rsid w:val="00AD7A6B"/>
    <w:rsid w:val="00AF49F6"/>
    <w:rsid w:val="00AF5FD7"/>
    <w:rsid w:val="00AF6BE7"/>
    <w:rsid w:val="00B04C93"/>
    <w:rsid w:val="00B0745B"/>
    <w:rsid w:val="00B078F6"/>
    <w:rsid w:val="00B12C6F"/>
    <w:rsid w:val="00B13C76"/>
    <w:rsid w:val="00B144CF"/>
    <w:rsid w:val="00B217A3"/>
    <w:rsid w:val="00B23B8B"/>
    <w:rsid w:val="00B27043"/>
    <w:rsid w:val="00B42499"/>
    <w:rsid w:val="00B45C7B"/>
    <w:rsid w:val="00B66419"/>
    <w:rsid w:val="00B72F0F"/>
    <w:rsid w:val="00B73958"/>
    <w:rsid w:val="00B773D4"/>
    <w:rsid w:val="00B843DA"/>
    <w:rsid w:val="00B87D04"/>
    <w:rsid w:val="00BA2D38"/>
    <w:rsid w:val="00BA420A"/>
    <w:rsid w:val="00BB0B0F"/>
    <w:rsid w:val="00BB0B72"/>
    <w:rsid w:val="00BB42CF"/>
    <w:rsid w:val="00BC625F"/>
    <w:rsid w:val="00BD41BC"/>
    <w:rsid w:val="00BD6827"/>
    <w:rsid w:val="00BD708C"/>
    <w:rsid w:val="00BE069D"/>
    <w:rsid w:val="00BE2BB3"/>
    <w:rsid w:val="00BE498E"/>
    <w:rsid w:val="00BF07ED"/>
    <w:rsid w:val="00BF5E4B"/>
    <w:rsid w:val="00BF6B19"/>
    <w:rsid w:val="00C04F86"/>
    <w:rsid w:val="00C11908"/>
    <w:rsid w:val="00C12B57"/>
    <w:rsid w:val="00C24E8A"/>
    <w:rsid w:val="00C32B65"/>
    <w:rsid w:val="00C33A20"/>
    <w:rsid w:val="00C50920"/>
    <w:rsid w:val="00C851F2"/>
    <w:rsid w:val="00C85A54"/>
    <w:rsid w:val="00C87602"/>
    <w:rsid w:val="00C92E97"/>
    <w:rsid w:val="00CA4C5B"/>
    <w:rsid w:val="00CA5CDD"/>
    <w:rsid w:val="00CA7721"/>
    <w:rsid w:val="00CD0807"/>
    <w:rsid w:val="00CE0A50"/>
    <w:rsid w:val="00CF2586"/>
    <w:rsid w:val="00D00A17"/>
    <w:rsid w:val="00D0148B"/>
    <w:rsid w:val="00D11743"/>
    <w:rsid w:val="00D14172"/>
    <w:rsid w:val="00D1770D"/>
    <w:rsid w:val="00D24117"/>
    <w:rsid w:val="00D24E04"/>
    <w:rsid w:val="00D25DC8"/>
    <w:rsid w:val="00D31F1F"/>
    <w:rsid w:val="00D3350F"/>
    <w:rsid w:val="00D4457E"/>
    <w:rsid w:val="00D4561D"/>
    <w:rsid w:val="00D46400"/>
    <w:rsid w:val="00D57496"/>
    <w:rsid w:val="00D633AD"/>
    <w:rsid w:val="00D67D66"/>
    <w:rsid w:val="00D71DF8"/>
    <w:rsid w:val="00D7534D"/>
    <w:rsid w:val="00D879B9"/>
    <w:rsid w:val="00D97795"/>
    <w:rsid w:val="00DA2327"/>
    <w:rsid w:val="00DA365D"/>
    <w:rsid w:val="00DA4F81"/>
    <w:rsid w:val="00DB329D"/>
    <w:rsid w:val="00DB5079"/>
    <w:rsid w:val="00DB57BD"/>
    <w:rsid w:val="00DC1FD8"/>
    <w:rsid w:val="00DD1B63"/>
    <w:rsid w:val="00E16B84"/>
    <w:rsid w:val="00E256C7"/>
    <w:rsid w:val="00E349DC"/>
    <w:rsid w:val="00E408CD"/>
    <w:rsid w:val="00E50FCF"/>
    <w:rsid w:val="00E52B3B"/>
    <w:rsid w:val="00E672E6"/>
    <w:rsid w:val="00E924BD"/>
    <w:rsid w:val="00E93B45"/>
    <w:rsid w:val="00E9444A"/>
    <w:rsid w:val="00EA113C"/>
    <w:rsid w:val="00EA4CA2"/>
    <w:rsid w:val="00EB7CA4"/>
    <w:rsid w:val="00EC16D4"/>
    <w:rsid w:val="00EC313F"/>
    <w:rsid w:val="00ED36C6"/>
    <w:rsid w:val="00ED3E79"/>
    <w:rsid w:val="00ED444D"/>
    <w:rsid w:val="00ED7023"/>
    <w:rsid w:val="00ED7BD8"/>
    <w:rsid w:val="00EF312D"/>
    <w:rsid w:val="00F02CFD"/>
    <w:rsid w:val="00F14ED5"/>
    <w:rsid w:val="00F23AD0"/>
    <w:rsid w:val="00F33DA5"/>
    <w:rsid w:val="00F42DFB"/>
    <w:rsid w:val="00F54328"/>
    <w:rsid w:val="00F601DC"/>
    <w:rsid w:val="00F60531"/>
    <w:rsid w:val="00F676C4"/>
    <w:rsid w:val="00F73C6A"/>
    <w:rsid w:val="00F759C6"/>
    <w:rsid w:val="00F76465"/>
    <w:rsid w:val="00F8185A"/>
    <w:rsid w:val="00F83338"/>
    <w:rsid w:val="00F86678"/>
    <w:rsid w:val="00FA58AD"/>
    <w:rsid w:val="00FB0A89"/>
    <w:rsid w:val="00FB4B58"/>
    <w:rsid w:val="00FB6097"/>
    <w:rsid w:val="00FC6C03"/>
    <w:rsid w:val="00FE314E"/>
    <w:rsid w:val="00FE3361"/>
    <w:rsid w:val="00FE7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647594"/>
    <w:pPr>
      <w:keepNext/>
      <w:keepLines/>
      <w:spacing w:before="360" w:after="240"/>
      <w:outlineLvl w:val="0"/>
    </w:pPr>
    <w:rPr>
      <w:rFonts w:ascii="Cambria" w:eastAsia="Times New Roman" w:hAnsi="Cambria"/>
      <w:b/>
      <w:bCs/>
      <w:noProof/>
      <w:color w:val="365F91"/>
      <w:sz w:val="36"/>
      <w:szCs w:val="36"/>
      <w:lang w:eastAsia="en-GB"/>
    </w:rPr>
  </w:style>
  <w:style w:type="paragraph" w:styleId="Heading2">
    <w:name w:val="heading 2"/>
    <w:basedOn w:val="Normal"/>
    <w:next w:val="Normal"/>
    <w:link w:val="Heading2Char"/>
    <w:uiPriority w:val="9"/>
    <w:unhideWhenUsed/>
    <w:qFormat/>
    <w:rsid w:val="00A5594F"/>
    <w:pPr>
      <w:keepNext/>
      <w:keepLines/>
      <w:spacing w:before="360" w:after="240"/>
      <w:outlineLvl w:val="1"/>
    </w:pPr>
    <w:rPr>
      <w:rFonts w:ascii="Cambria" w:eastAsia="Times New Roman" w:hAnsi="Cambria"/>
      <w:b/>
      <w:bCs/>
      <w:color w:val="1F497D"/>
      <w:sz w:val="28"/>
      <w:szCs w:val="28"/>
    </w:rPr>
  </w:style>
  <w:style w:type="paragraph" w:styleId="Heading3">
    <w:name w:val="heading 3"/>
    <w:basedOn w:val="Normal"/>
    <w:next w:val="Normal"/>
    <w:link w:val="Heading3Char"/>
    <w:uiPriority w:val="9"/>
    <w:unhideWhenUsed/>
    <w:qFormat/>
    <w:rsid w:val="00BE069D"/>
    <w:pPr>
      <w:keepNext/>
      <w:keepLines/>
      <w:spacing w:before="120" w:after="12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ED3E79"/>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A46"/>
    <w:pPr>
      <w:ind w:left="720"/>
      <w:contextualSpacing/>
    </w:pPr>
  </w:style>
  <w:style w:type="paragraph" w:styleId="Header">
    <w:name w:val="header"/>
    <w:basedOn w:val="Normal"/>
    <w:link w:val="HeaderChar"/>
    <w:uiPriority w:val="99"/>
    <w:unhideWhenUsed/>
    <w:rsid w:val="00AA1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6A9"/>
  </w:style>
  <w:style w:type="paragraph" w:styleId="Footer">
    <w:name w:val="footer"/>
    <w:basedOn w:val="Normal"/>
    <w:link w:val="FooterChar"/>
    <w:uiPriority w:val="99"/>
    <w:unhideWhenUsed/>
    <w:rsid w:val="00AA1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6A9"/>
  </w:style>
  <w:style w:type="paragraph" w:styleId="BalloonText">
    <w:name w:val="Balloon Text"/>
    <w:basedOn w:val="Normal"/>
    <w:link w:val="BalloonTextChar"/>
    <w:uiPriority w:val="99"/>
    <w:semiHidden/>
    <w:unhideWhenUsed/>
    <w:rsid w:val="00AA16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6A9"/>
    <w:rPr>
      <w:rFonts w:ascii="Tahoma" w:hAnsi="Tahoma" w:cs="Tahoma"/>
      <w:sz w:val="16"/>
      <w:szCs w:val="16"/>
    </w:rPr>
  </w:style>
  <w:style w:type="paragraph" w:customStyle="1" w:styleId="Explanation">
    <w:name w:val="Explanation"/>
    <w:basedOn w:val="ListParagraph"/>
    <w:qFormat/>
    <w:rsid w:val="00AD20C4"/>
    <w:pPr>
      <w:pBdr>
        <w:top w:val="single" w:sz="4" w:space="1" w:color="auto"/>
        <w:left w:val="single" w:sz="4" w:space="4" w:color="auto"/>
        <w:bottom w:val="single" w:sz="4" w:space="1" w:color="auto"/>
        <w:right w:val="single" w:sz="4" w:space="4" w:color="auto"/>
      </w:pBdr>
      <w:spacing w:line="240" w:lineRule="auto"/>
      <w:ind w:left="1134"/>
    </w:pPr>
  </w:style>
  <w:style w:type="character" w:customStyle="1" w:styleId="Heading1Char">
    <w:name w:val="Heading 1 Char"/>
    <w:link w:val="Heading1"/>
    <w:uiPriority w:val="9"/>
    <w:rsid w:val="00647594"/>
    <w:rPr>
      <w:rFonts w:ascii="Cambria" w:eastAsia="Times New Roman" w:hAnsi="Cambria"/>
      <w:b/>
      <w:bCs/>
      <w:noProof/>
      <w:color w:val="365F91"/>
      <w:sz w:val="36"/>
      <w:szCs w:val="36"/>
    </w:rPr>
  </w:style>
  <w:style w:type="character" w:customStyle="1" w:styleId="Heading2Char">
    <w:name w:val="Heading 2 Char"/>
    <w:link w:val="Heading2"/>
    <w:uiPriority w:val="9"/>
    <w:rsid w:val="00A5594F"/>
    <w:rPr>
      <w:rFonts w:ascii="Cambria" w:eastAsia="Times New Roman" w:hAnsi="Cambria"/>
      <w:b/>
      <w:bCs/>
      <w:color w:val="1F497D"/>
      <w:sz w:val="28"/>
      <w:szCs w:val="28"/>
      <w:lang w:eastAsia="en-US"/>
    </w:rPr>
  </w:style>
  <w:style w:type="paragraph" w:styleId="FootnoteText">
    <w:name w:val="footnote text"/>
    <w:basedOn w:val="Normal"/>
    <w:link w:val="FootnoteTextChar"/>
    <w:uiPriority w:val="99"/>
    <w:semiHidden/>
    <w:unhideWhenUsed/>
    <w:rsid w:val="007726B3"/>
    <w:pPr>
      <w:spacing w:after="0" w:line="240" w:lineRule="auto"/>
    </w:pPr>
    <w:rPr>
      <w:sz w:val="20"/>
      <w:szCs w:val="20"/>
    </w:rPr>
  </w:style>
  <w:style w:type="character" w:customStyle="1" w:styleId="FootnoteTextChar">
    <w:name w:val="Footnote Text Char"/>
    <w:link w:val="FootnoteText"/>
    <w:uiPriority w:val="99"/>
    <w:semiHidden/>
    <w:rsid w:val="007726B3"/>
    <w:rPr>
      <w:sz w:val="20"/>
      <w:szCs w:val="20"/>
    </w:rPr>
  </w:style>
  <w:style w:type="character" w:styleId="FootnoteReference">
    <w:name w:val="footnote reference"/>
    <w:uiPriority w:val="99"/>
    <w:semiHidden/>
    <w:unhideWhenUsed/>
    <w:rsid w:val="007726B3"/>
    <w:rPr>
      <w:vertAlign w:val="superscript"/>
    </w:rPr>
  </w:style>
  <w:style w:type="paragraph" w:styleId="EndnoteText">
    <w:name w:val="endnote text"/>
    <w:basedOn w:val="Normal"/>
    <w:link w:val="EndnoteTextChar"/>
    <w:uiPriority w:val="99"/>
    <w:semiHidden/>
    <w:unhideWhenUsed/>
    <w:rsid w:val="007726B3"/>
    <w:pPr>
      <w:spacing w:after="0" w:line="240" w:lineRule="auto"/>
    </w:pPr>
    <w:rPr>
      <w:sz w:val="20"/>
      <w:szCs w:val="20"/>
    </w:rPr>
  </w:style>
  <w:style w:type="character" w:customStyle="1" w:styleId="EndnoteTextChar">
    <w:name w:val="Endnote Text Char"/>
    <w:link w:val="EndnoteText"/>
    <w:uiPriority w:val="99"/>
    <w:semiHidden/>
    <w:rsid w:val="007726B3"/>
    <w:rPr>
      <w:sz w:val="20"/>
      <w:szCs w:val="20"/>
    </w:rPr>
  </w:style>
  <w:style w:type="character" w:styleId="EndnoteReference">
    <w:name w:val="endnote reference"/>
    <w:uiPriority w:val="99"/>
    <w:semiHidden/>
    <w:unhideWhenUsed/>
    <w:rsid w:val="007726B3"/>
    <w:rPr>
      <w:vertAlign w:val="superscript"/>
    </w:rPr>
  </w:style>
  <w:style w:type="character" w:customStyle="1" w:styleId="Heading3Char">
    <w:name w:val="Heading 3 Char"/>
    <w:link w:val="Heading3"/>
    <w:uiPriority w:val="9"/>
    <w:rsid w:val="00BE069D"/>
    <w:rPr>
      <w:rFonts w:ascii="Cambria" w:eastAsia="Times New Roman" w:hAnsi="Cambria" w:cs="Times New Roman"/>
      <w:b/>
      <w:bCs/>
      <w:color w:val="4F81BD"/>
    </w:rPr>
  </w:style>
  <w:style w:type="character" w:customStyle="1" w:styleId="Heading4Char">
    <w:name w:val="Heading 4 Char"/>
    <w:link w:val="Heading4"/>
    <w:uiPriority w:val="9"/>
    <w:rsid w:val="00ED3E79"/>
    <w:rPr>
      <w:rFonts w:ascii="Cambria" w:eastAsia="Times New Roman" w:hAnsi="Cambria" w:cs="Times New Roman"/>
      <w:b/>
      <w:bCs/>
      <w:i/>
      <w:iCs/>
      <w:color w:val="4F81BD"/>
    </w:rPr>
  </w:style>
  <w:style w:type="character" w:styleId="Hyperlink">
    <w:name w:val="Hyperlink"/>
    <w:uiPriority w:val="99"/>
    <w:unhideWhenUsed/>
    <w:rsid w:val="004A09D9"/>
    <w:rPr>
      <w:color w:val="0000FF"/>
      <w:u w:val="single"/>
    </w:rPr>
  </w:style>
  <w:style w:type="character" w:styleId="Strong">
    <w:name w:val="Strong"/>
    <w:uiPriority w:val="22"/>
    <w:rsid w:val="004C2819"/>
    <w:rPr>
      <w:b/>
      <w:bCs/>
    </w:rPr>
  </w:style>
  <w:style w:type="paragraph" w:customStyle="1" w:styleId="Default">
    <w:name w:val="Default"/>
    <w:rsid w:val="0071063F"/>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893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Normal"/>
    <w:qFormat/>
    <w:rsid w:val="00BE498E"/>
    <w:rPr>
      <w:rFonts w:eastAsia="Times New Roman"/>
      <w:b/>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647594"/>
    <w:pPr>
      <w:keepNext/>
      <w:keepLines/>
      <w:spacing w:before="360" w:after="240"/>
      <w:outlineLvl w:val="0"/>
    </w:pPr>
    <w:rPr>
      <w:rFonts w:ascii="Cambria" w:eastAsia="Times New Roman" w:hAnsi="Cambria"/>
      <w:b/>
      <w:bCs/>
      <w:noProof/>
      <w:color w:val="365F91"/>
      <w:sz w:val="36"/>
      <w:szCs w:val="36"/>
      <w:lang w:eastAsia="en-GB"/>
    </w:rPr>
  </w:style>
  <w:style w:type="paragraph" w:styleId="Heading2">
    <w:name w:val="heading 2"/>
    <w:basedOn w:val="Normal"/>
    <w:next w:val="Normal"/>
    <w:link w:val="Heading2Char"/>
    <w:uiPriority w:val="9"/>
    <w:unhideWhenUsed/>
    <w:qFormat/>
    <w:rsid w:val="00A5594F"/>
    <w:pPr>
      <w:keepNext/>
      <w:keepLines/>
      <w:spacing w:before="360" w:after="240"/>
      <w:outlineLvl w:val="1"/>
    </w:pPr>
    <w:rPr>
      <w:rFonts w:ascii="Cambria" w:eastAsia="Times New Roman" w:hAnsi="Cambria"/>
      <w:b/>
      <w:bCs/>
      <w:color w:val="1F497D"/>
      <w:sz w:val="28"/>
      <w:szCs w:val="28"/>
    </w:rPr>
  </w:style>
  <w:style w:type="paragraph" w:styleId="Heading3">
    <w:name w:val="heading 3"/>
    <w:basedOn w:val="Normal"/>
    <w:next w:val="Normal"/>
    <w:link w:val="Heading3Char"/>
    <w:uiPriority w:val="9"/>
    <w:unhideWhenUsed/>
    <w:qFormat/>
    <w:rsid w:val="00BE069D"/>
    <w:pPr>
      <w:keepNext/>
      <w:keepLines/>
      <w:spacing w:before="120" w:after="12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ED3E79"/>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A46"/>
    <w:pPr>
      <w:ind w:left="720"/>
      <w:contextualSpacing/>
    </w:pPr>
  </w:style>
  <w:style w:type="paragraph" w:styleId="Header">
    <w:name w:val="header"/>
    <w:basedOn w:val="Normal"/>
    <w:link w:val="HeaderChar"/>
    <w:uiPriority w:val="99"/>
    <w:unhideWhenUsed/>
    <w:rsid w:val="00AA1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6A9"/>
  </w:style>
  <w:style w:type="paragraph" w:styleId="Footer">
    <w:name w:val="footer"/>
    <w:basedOn w:val="Normal"/>
    <w:link w:val="FooterChar"/>
    <w:uiPriority w:val="99"/>
    <w:unhideWhenUsed/>
    <w:rsid w:val="00AA1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6A9"/>
  </w:style>
  <w:style w:type="paragraph" w:styleId="BalloonText">
    <w:name w:val="Balloon Text"/>
    <w:basedOn w:val="Normal"/>
    <w:link w:val="BalloonTextChar"/>
    <w:uiPriority w:val="99"/>
    <w:semiHidden/>
    <w:unhideWhenUsed/>
    <w:rsid w:val="00AA16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6A9"/>
    <w:rPr>
      <w:rFonts w:ascii="Tahoma" w:hAnsi="Tahoma" w:cs="Tahoma"/>
      <w:sz w:val="16"/>
      <w:szCs w:val="16"/>
    </w:rPr>
  </w:style>
  <w:style w:type="paragraph" w:customStyle="1" w:styleId="Explanation">
    <w:name w:val="Explanation"/>
    <w:basedOn w:val="ListParagraph"/>
    <w:qFormat/>
    <w:rsid w:val="00AD20C4"/>
    <w:pPr>
      <w:pBdr>
        <w:top w:val="single" w:sz="4" w:space="1" w:color="auto"/>
        <w:left w:val="single" w:sz="4" w:space="4" w:color="auto"/>
        <w:bottom w:val="single" w:sz="4" w:space="1" w:color="auto"/>
        <w:right w:val="single" w:sz="4" w:space="4" w:color="auto"/>
      </w:pBdr>
      <w:spacing w:line="240" w:lineRule="auto"/>
      <w:ind w:left="1134"/>
    </w:pPr>
  </w:style>
  <w:style w:type="character" w:customStyle="1" w:styleId="Heading1Char">
    <w:name w:val="Heading 1 Char"/>
    <w:link w:val="Heading1"/>
    <w:uiPriority w:val="9"/>
    <w:rsid w:val="00647594"/>
    <w:rPr>
      <w:rFonts w:ascii="Cambria" w:eastAsia="Times New Roman" w:hAnsi="Cambria"/>
      <w:b/>
      <w:bCs/>
      <w:noProof/>
      <w:color w:val="365F91"/>
      <w:sz w:val="36"/>
      <w:szCs w:val="36"/>
    </w:rPr>
  </w:style>
  <w:style w:type="character" w:customStyle="1" w:styleId="Heading2Char">
    <w:name w:val="Heading 2 Char"/>
    <w:link w:val="Heading2"/>
    <w:uiPriority w:val="9"/>
    <w:rsid w:val="00A5594F"/>
    <w:rPr>
      <w:rFonts w:ascii="Cambria" w:eastAsia="Times New Roman" w:hAnsi="Cambria"/>
      <w:b/>
      <w:bCs/>
      <w:color w:val="1F497D"/>
      <w:sz w:val="28"/>
      <w:szCs w:val="28"/>
      <w:lang w:eastAsia="en-US"/>
    </w:rPr>
  </w:style>
  <w:style w:type="paragraph" w:styleId="FootnoteText">
    <w:name w:val="footnote text"/>
    <w:basedOn w:val="Normal"/>
    <w:link w:val="FootnoteTextChar"/>
    <w:uiPriority w:val="99"/>
    <w:semiHidden/>
    <w:unhideWhenUsed/>
    <w:rsid w:val="007726B3"/>
    <w:pPr>
      <w:spacing w:after="0" w:line="240" w:lineRule="auto"/>
    </w:pPr>
    <w:rPr>
      <w:sz w:val="20"/>
      <w:szCs w:val="20"/>
    </w:rPr>
  </w:style>
  <w:style w:type="character" w:customStyle="1" w:styleId="FootnoteTextChar">
    <w:name w:val="Footnote Text Char"/>
    <w:link w:val="FootnoteText"/>
    <w:uiPriority w:val="99"/>
    <w:semiHidden/>
    <w:rsid w:val="007726B3"/>
    <w:rPr>
      <w:sz w:val="20"/>
      <w:szCs w:val="20"/>
    </w:rPr>
  </w:style>
  <w:style w:type="character" w:styleId="FootnoteReference">
    <w:name w:val="footnote reference"/>
    <w:uiPriority w:val="99"/>
    <w:semiHidden/>
    <w:unhideWhenUsed/>
    <w:rsid w:val="007726B3"/>
    <w:rPr>
      <w:vertAlign w:val="superscript"/>
    </w:rPr>
  </w:style>
  <w:style w:type="paragraph" w:styleId="EndnoteText">
    <w:name w:val="endnote text"/>
    <w:basedOn w:val="Normal"/>
    <w:link w:val="EndnoteTextChar"/>
    <w:uiPriority w:val="99"/>
    <w:semiHidden/>
    <w:unhideWhenUsed/>
    <w:rsid w:val="007726B3"/>
    <w:pPr>
      <w:spacing w:after="0" w:line="240" w:lineRule="auto"/>
    </w:pPr>
    <w:rPr>
      <w:sz w:val="20"/>
      <w:szCs w:val="20"/>
    </w:rPr>
  </w:style>
  <w:style w:type="character" w:customStyle="1" w:styleId="EndnoteTextChar">
    <w:name w:val="Endnote Text Char"/>
    <w:link w:val="EndnoteText"/>
    <w:uiPriority w:val="99"/>
    <w:semiHidden/>
    <w:rsid w:val="007726B3"/>
    <w:rPr>
      <w:sz w:val="20"/>
      <w:szCs w:val="20"/>
    </w:rPr>
  </w:style>
  <w:style w:type="character" w:styleId="EndnoteReference">
    <w:name w:val="endnote reference"/>
    <w:uiPriority w:val="99"/>
    <w:semiHidden/>
    <w:unhideWhenUsed/>
    <w:rsid w:val="007726B3"/>
    <w:rPr>
      <w:vertAlign w:val="superscript"/>
    </w:rPr>
  </w:style>
  <w:style w:type="character" w:customStyle="1" w:styleId="Heading3Char">
    <w:name w:val="Heading 3 Char"/>
    <w:link w:val="Heading3"/>
    <w:uiPriority w:val="9"/>
    <w:rsid w:val="00BE069D"/>
    <w:rPr>
      <w:rFonts w:ascii="Cambria" w:eastAsia="Times New Roman" w:hAnsi="Cambria" w:cs="Times New Roman"/>
      <w:b/>
      <w:bCs/>
      <w:color w:val="4F81BD"/>
    </w:rPr>
  </w:style>
  <w:style w:type="character" w:customStyle="1" w:styleId="Heading4Char">
    <w:name w:val="Heading 4 Char"/>
    <w:link w:val="Heading4"/>
    <w:uiPriority w:val="9"/>
    <w:rsid w:val="00ED3E79"/>
    <w:rPr>
      <w:rFonts w:ascii="Cambria" w:eastAsia="Times New Roman" w:hAnsi="Cambria" w:cs="Times New Roman"/>
      <w:b/>
      <w:bCs/>
      <w:i/>
      <w:iCs/>
      <w:color w:val="4F81BD"/>
    </w:rPr>
  </w:style>
  <w:style w:type="character" w:styleId="Hyperlink">
    <w:name w:val="Hyperlink"/>
    <w:uiPriority w:val="99"/>
    <w:unhideWhenUsed/>
    <w:rsid w:val="004A09D9"/>
    <w:rPr>
      <w:color w:val="0000FF"/>
      <w:u w:val="single"/>
    </w:rPr>
  </w:style>
  <w:style w:type="character" w:styleId="Strong">
    <w:name w:val="Strong"/>
    <w:uiPriority w:val="22"/>
    <w:rsid w:val="004C2819"/>
    <w:rPr>
      <w:b/>
      <w:bCs/>
    </w:rPr>
  </w:style>
  <w:style w:type="paragraph" w:customStyle="1" w:styleId="Default">
    <w:name w:val="Default"/>
    <w:rsid w:val="0071063F"/>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893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Normal"/>
    <w:qFormat/>
    <w:rsid w:val="00BE498E"/>
    <w:rPr>
      <w:rFonts w:eastAsia="Times New Roman"/>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267521">
      <w:bodyDiv w:val="1"/>
      <w:marLeft w:val="0"/>
      <w:marRight w:val="0"/>
      <w:marTop w:val="0"/>
      <w:marBottom w:val="0"/>
      <w:divBdr>
        <w:top w:val="none" w:sz="0" w:space="0" w:color="auto"/>
        <w:left w:val="none" w:sz="0" w:space="0" w:color="auto"/>
        <w:bottom w:val="none" w:sz="0" w:space="0" w:color="auto"/>
        <w:right w:val="none" w:sz="0" w:space="0" w:color="auto"/>
      </w:divBdr>
    </w:div>
    <w:div w:id="52972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hnetwork.org.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vid.gibbens@ehnetwork.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www.birmingham.ac.uk/schools/social-policy/departments/social-policy-social-work/news-and-events/2016/07/housing-and-communities-group-submits-evidence-to-APPG.aspx" TargetMode="External"/><Relationship Id="rId3" Type="http://schemas.openxmlformats.org/officeDocument/2006/relationships/hyperlink" Target="http://scotland.shelter.org.uk/empty_homes/annual_reports" TargetMode="External"/><Relationship Id="rId7" Type="http://schemas.openxmlformats.org/officeDocument/2006/relationships/hyperlink" Target="http://www.birmingham.ac.uk/research/activity/social-policy/housing-communities/publications/working-paper-series.aspx" TargetMode="External"/><Relationship Id="rId2" Type="http://schemas.openxmlformats.org/officeDocument/2006/relationships/hyperlink" Target="http://gov.wales/statistics-and-research/houses-into-homes/?lang=en" TargetMode="External"/><Relationship Id="rId1" Type="http://schemas.openxmlformats.org/officeDocument/2006/relationships/hyperlink" Target="https://www.nue.org.uk/newsletter-edition-no-8-10-years/" TargetMode="External"/><Relationship Id="rId6" Type="http://schemas.openxmlformats.org/officeDocument/2006/relationships/hyperlink" Target="http://www.ehnetwork.org.uk/library-item/higher-rates-sdlt-ehn-consultation-response" TargetMode="External"/><Relationship Id="rId5" Type="http://schemas.openxmlformats.org/officeDocument/2006/relationships/hyperlink" Target="sticerd.lse.ac.uk/dps/case/cp/CCCfull.pdf" TargetMode="External"/><Relationship Id="rId4" Type="http://schemas.openxmlformats.org/officeDocument/2006/relationships/hyperlink" Target="http://www.gov.scot/Publications/2010/06/011130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9159A-F16C-4232-84FC-0828F7970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6</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13292</CharactersWithSpaces>
  <SharedDoc>false</SharedDoc>
  <HLinks>
    <vt:vector size="12" baseType="variant">
      <vt:variant>
        <vt:i4>131137</vt:i4>
      </vt:variant>
      <vt:variant>
        <vt:i4>3</vt:i4>
      </vt:variant>
      <vt:variant>
        <vt:i4>0</vt:i4>
      </vt:variant>
      <vt:variant>
        <vt:i4>5</vt:i4>
      </vt:variant>
      <vt:variant>
        <vt:lpwstr>http://www.ehnetwork.org.uk/</vt:lpwstr>
      </vt:variant>
      <vt:variant>
        <vt:lpwstr/>
      </vt:variant>
      <vt:variant>
        <vt:i4>65587</vt:i4>
      </vt:variant>
      <vt:variant>
        <vt:i4>0</vt:i4>
      </vt:variant>
      <vt:variant>
        <vt:i4>0</vt:i4>
      </vt:variant>
      <vt:variant>
        <vt:i4>5</vt:i4>
      </vt:variant>
      <vt:variant>
        <vt:lpwstr>mailto:david.gibbens@ehnetwork.org.uk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Gibbens</dc:creator>
  <cp:lastModifiedBy>David Gibbens</cp:lastModifiedBy>
  <cp:revision>12</cp:revision>
  <cp:lastPrinted>2014-02-17T16:16:00Z</cp:lastPrinted>
  <dcterms:created xsi:type="dcterms:W3CDTF">2016-08-26T16:53:00Z</dcterms:created>
  <dcterms:modified xsi:type="dcterms:W3CDTF">2016-08-29T11:11:00Z</dcterms:modified>
</cp:coreProperties>
</file>