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0F" w:rsidRPr="007A39AC" w:rsidRDefault="003751D2" w:rsidP="00647594">
      <w:pPr>
        <w:pStyle w:val="Heading1"/>
        <w:spacing w:line="257" w:lineRule="auto"/>
      </w:pPr>
      <w:r>
        <w:drawing>
          <wp:anchor distT="0" distB="0" distL="114300" distR="114300" simplePos="0" relativeHeight="251657728" behindDoc="1" locked="0" layoutInCell="1" allowOverlap="1">
            <wp:simplePos x="0" y="0"/>
            <wp:positionH relativeFrom="column">
              <wp:posOffset>5343525</wp:posOffset>
            </wp:positionH>
            <wp:positionV relativeFrom="paragraph">
              <wp:posOffset>-912495</wp:posOffset>
            </wp:positionV>
            <wp:extent cx="1219200" cy="1219200"/>
            <wp:effectExtent l="0" t="0" r="0" b="0"/>
            <wp:wrapTight wrapText="bothSides">
              <wp:wrapPolygon edited="0">
                <wp:start x="7425" y="0"/>
                <wp:lineTo x="3713" y="1688"/>
                <wp:lineTo x="338" y="4388"/>
                <wp:lineTo x="338" y="6075"/>
                <wp:lineTo x="2700" y="11475"/>
                <wp:lineTo x="2700" y="20250"/>
                <wp:lineTo x="20588" y="20250"/>
                <wp:lineTo x="21263" y="11138"/>
                <wp:lineTo x="19913" y="9113"/>
                <wp:lineTo x="17213" y="6075"/>
                <wp:lineTo x="10125" y="0"/>
                <wp:lineTo x="7425" y="0"/>
              </wp:wrapPolygon>
            </wp:wrapTight>
            <wp:docPr id="6" name="Picture 6" descr="LogoImageRG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ImageRGB3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50F" w:rsidRPr="007A39AC">
        <w:t>Introduction</w:t>
      </w:r>
    </w:p>
    <w:p w:rsidR="00E132DB" w:rsidRPr="00647594" w:rsidRDefault="00E132DB" w:rsidP="00E132DB">
      <w:pPr>
        <w:spacing w:line="257" w:lineRule="auto"/>
        <w:rPr>
          <w:sz w:val="24"/>
          <w:szCs w:val="24"/>
        </w:rPr>
      </w:pPr>
      <w:r>
        <w:rPr>
          <w:sz w:val="24"/>
          <w:szCs w:val="24"/>
        </w:rPr>
        <w:t>The Empty Homes Network</w:t>
      </w:r>
      <w:r w:rsidRPr="00647594">
        <w:rPr>
          <w:sz w:val="24"/>
          <w:szCs w:val="24"/>
        </w:rPr>
        <w:t xml:space="preserve"> welcome</w:t>
      </w:r>
      <w:r>
        <w:rPr>
          <w:sz w:val="24"/>
          <w:szCs w:val="24"/>
        </w:rPr>
        <w:t>s</w:t>
      </w:r>
      <w:r w:rsidRPr="00647594">
        <w:rPr>
          <w:sz w:val="24"/>
          <w:szCs w:val="24"/>
        </w:rPr>
        <w:t xml:space="preserve"> the work of the Housing Task Force</w:t>
      </w:r>
      <w:r>
        <w:rPr>
          <w:sz w:val="24"/>
          <w:szCs w:val="24"/>
        </w:rPr>
        <w:t>. We</w:t>
      </w:r>
      <w:r w:rsidRPr="00647594">
        <w:rPr>
          <w:sz w:val="24"/>
          <w:szCs w:val="24"/>
        </w:rPr>
        <w:t xml:space="preserve"> are grateful for the opportunity to submit our views.  </w:t>
      </w:r>
      <w:r>
        <w:rPr>
          <w:sz w:val="24"/>
          <w:szCs w:val="24"/>
        </w:rPr>
        <w:t>Representatives</w:t>
      </w:r>
      <w:r w:rsidRPr="00647594">
        <w:rPr>
          <w:sz w:val="24"/>
          <w:szCs w:val="24"/>
        </w:rPr>
        <w:t xml:space="preserve"> </w:t>
      </w:r>
      <w:r>
        <w:rPr>
          <w:sz w:val="24"/>
          <w:szCs w:val="24"/>
        </w:rPr>
        <w:t xml:space="preserve">or members </w:t>
      </w:r>
      <w:r w:rsidRPr="00647594">
        <w:rPr>
          <w:sz w:val="24"/>
          <w:szCs w:val="24"/>
        </w:rPr>
        <w:t xml:space="preserve">of the Empty Homes Network attended </w:t>
      </w:r>
      <w:r>
        <w:rPr>
          <w:sz w:val="24"/>
          <w:szCs w:val="24"/>
        </w:rPr>
        <w:t xml:space="preserve">all of </w:t>
      </w:r>
      <w:r w:rsidRPr="00647594">
        <w:rPr>
          <w:sz w:val="24"/>
          <w:szCs w:val="24"/>
        </w:rPr>
        <w:t xml:space="preserve">the round-table meetings in the work-stream related to making best use of existing stock.   </w:t>
      </w:r>
      <w:bookmarkStart w:id="0" w:name="_GoBack"/>
      <w:bookmarkEnd w:id="0"/>
    </w:p>
    <w:p w:rsidR="00E132DB" w:rsidRPr="00647594" w:rsidRDefault="00E132DB" w:rsidP="00E132DB">
      <w:pPr>
        <w:spacing w:line="257" w:lineRule="auto"/>
        <w:rPr>
          <w:sz w:val="24"/>
        </w:rPr>
      </w:pPr>
      <w:r>
        <w:rPr>
          <w:sz w:val="24"/>
        </w:rPr>
        <w:t xml:space="preserve">We have used our submission regarding Clusters of Empties </w:t>
      </w:r>
      <w:r w:rsidR="00750D0E">
        <w:rPr>
          <w:sz w:val="24"/>
        </w:rPr>
        <w:t>to highlight the wider issue of empty homes and suggested the need for a strategic approach</w:t>
      </w:r>
      <w:r w:rsidR="00C7200C">
        <w:rPr>
          <w:sz w:val="24"/>
        </w:rPr>
        <w:t xml:space="preserve"> rather than an ‘issue-specific’ approach</w:t>
      </w:r>
      <w:r w:rsidR="00750D0E">
        <w:rPr>
          <w:sz w:val="24"/>
        </w:rPr>
        <w:t>. Here we focus more narrowly on the specific issues associated with making better use of redundant commercial property</w:t>
      </w:r>
      <w:proofErr w:type="gramStart"/>
      <w:r w:rsidR="00750D0E">
        <w:rPr>
          <w:sz w:val="24"/>
        </w:rPr>
        <w:t>.</w:t>
      </w:r>
      <w:r w:rsidRPr="00647594">
        <w:rPr>
          <w:sz w:val="24"/>
        </w:rPr>
        <w:t>.</w:t>
      </w:r>
      <w:proofErr w:type="gramEnd"/>
    </w:p>
    <w:p w:rsidR="00903A81" w:rsidRDefault="00FB6097" w:rsidP="00647594">
      <w:pPr>
        <w:pStyle w:val="Heading1"/>
        <w:spacing w:line="257" w:lineRule="auto"/>
      </w:pPr>
      <w:r>
        <w:t>Principles</w:t>
      </w:r>
    </w:p>
    <w:p w:rsidR="00C7200C" w:rsidRPr="00647594" w:rsidRDefault="00C7200C" w:rsidP="00C7200C">
      <w:pPr>
        <w:spacing w:line="257" w:lineRule="auto"/>
        <w:rPr>
          <w:sz w:val="24"/>
        </w:rPr>
      </w:pPr>
      <w:r>
        <w:rPr>
          <w:b/>
          <w:sz w:val="24"/>
        </w:rPr>
        <w:t>Keep the horse before the cart</w:t>
      </w:r>
      <w:r w:rsidRPr="00647594">
        <w:rPr>
          <w:sz w:val="24"/>
        </w:rPr>
        <w:t xml:space="preserve">. Generic solutions such as loan schemes, enforcement activities, and the provision of guidance and advice underpin </w:t>
      </w:r>
      <w:r w:rsidRPr="00C85A54">
        <w:rPr>
          <w:i/>
          <w:sz w:val="24"/>
        </w:rPr>
        <w:t>all</w:t>
      </w:r>
      <w:r w:rsidRPr="00647594">
        <w:rPr>
          <w:sz w:val="24"/>
        </w:rPr>
        <w:t xml:space="preserve"> successful interventions.  Priority should be given to building the necessary skill-base and delivery framework </w:t>
      </w:r>
      <w:r>
        <w:rPr>
          <w:sz w:val="24"/>
        </w:rPr>
        <w:t xml:space="preserve">for tackling empty homes </w:t>
      </w:r>
      <w:r w:rsidRPr="00647594">
        <w:rPr>
          <w:sz w:val="24"/>
        </w:rPr>
        <w:t>across a geographical area as a precondition for any more targeted interventions</w:t>
      </w:r>
      <w:r>
        <w:rPr>
          <w:sz w:val="24"/>
        </w:rPr>
        <w:t>.</w:t>
      </w:r>
      <w:r>
        <w:rPr>
          <w:rStyle w:val="EndnoteReference"/>
          <w:sz w:val="24"/>
        </w:rPr>
        <w:endnoteReference w:id="1"/>
      </w:r>
    </w:p>
    <w:p w:rsidR="00A60D19" w:rsidRPr="00647594" w:rsidRDefault="00731266" w:rsidP="00647594">
      <w:pPr>
        <w:spacing w:line="257" w:lineRule="auto"/>
        <w:rPr>
          <w:sz w:val="24"/>
        </w:rPr>
      </w:pPr>
      <w:r w:rsidRPr="00647594">
        <w:rPr>
          <w:b/>
          <w:sz w:val="24"/>
        </w:rPr>
        <w:t>Local responses need support</w:t>
      </w:r>
      <w:r w:rsidRPr="00647594">
        <w:rPr>
          <w:sz w:val="24"/>
        </w:rPr>
        <w:t xml:space="preserve">. Local authorities can and do take the lead on tackling empty homes in their area. But there is good evidence </w:t>
      </w:r>
      <w:r w:rsidR="00A60D19" w:rsidRPr="00647594">
        <w:rPr>
          <w:sz w:val="24"/>
        </w:rPr>
        <w:t>(Wales, Scotland,</w:t>
      </w:r>
      <w:r w:rsidRPr="00647594">
        <w:rPr>
          <w:sz w:val="24"/>
        </w:rPr>
        <w:t xml:space="preserve"> Kent</w:t>
      </w:r>
      <w:r w:rsidR="00A60D19" w:rsidRPr="00647594">
        <w:rPr>
          <w:sz w:val="24"/>
        </w:rPr>
        <w:t>)</w:t>
      </w:r>
      <w:r w:rsidR="001F7CE1">
        <w:rPr>
          <w:rStyle w:val="EndnoteReference"/>
          <w:sz w:val="24"/>
        </w:rPr>
        <w:endnoteReference w:id="2"/>
      </w:r>
      <w:r w:rsidRPr="00647594">
        <w:rPr>
          <w:sz w:val="24"/>
        </w:rPr>
        <w:t xml:space="preserve"> that local responses receive huge benefits from wider partnerships that impart expertise, energy and sustainability to local initiatives</w:t>
      </w:r>
      <w:r w:rsidR="00A60D19" w:rsidRPr="00647594">
        <w:rPr>
          <w:sz w:val="24"/>
        </w:rPr>
        <w:t xml:space="preserve"> and avoid re-inventing the wheel</w:t>
      </w:r>
      <w:r w:rsidRPr="00647594">
        <w:rPr>
          <w:sz w:val="24"/>
        </w:rPr>
        <w:t>.</w:t>
      </w:r>
      <w:r w:rsidR="00A60D19" w:rsidRPr="00647594">
        <w:rPr>
          <w:sz w:val="24"/>
        </w:rPr>
        <w:t xml:space="preserve">  </w:t>
      </w:r>
    </w:p>
    <w:p w:rsidR="005D6828" w:rsidRPr="00BE498E" w:rsidRDefault="00BE498E" w:rsidP="00647594">
      <w:pPr>
        <w:pStyle w:val="Heading1"/>
        <w:spacing w:line="257" w:lineRule="auto"/>
      </w:pPr>
      <w:r w:rsidRPr="00BE498E">
        <w:t>Conversions of wasted commercial space</w:t>
      </w:r>
    </w:p>
    <w:p w:rsidR="00BE498E" w:rsidRPr="00750D0E" w:rsidRDefault="00E132DB" w:rsidP="00647594">
      <w:pPr>
        <w:pStyle w:val="Question"/>
        <w:spacing w:line="257" w:lineRule="auto"/>
        <w:rPr>
          <w:sz w:val="24"/>
          <w:szCs w:val="24"/>
        </w:rPr>
      </w:pPr>
      <w:r w:rsidRPr="00750D0E">
        <w:rPr>
          <w:sz w:val="24"/>
          <w:szCs w:val="24"/>
        </w:rPr>
        <w:t xml:space="preserve">Q1 </w:t>
      </w:r>
      <w:proofErr w:type="gramStart"/>
      <w:r w:rsidR="00BE498E" w:rsidRPr="00750D0E">
        <w:rPr>
          <w:sz w:val="24"/>
          <w:szCs w:val="24"/>
        </w:rPr>
        <w:t>What</w:t>
      </w:r>
      <w:proofErr w:type="gramEnd"/>
      <w:r w:rsidR="00BE498E" w:rsidRPr="00750D0E">
        <w:rPr>
          <w:sz w:val="24"/>
          <w:szCs w:val="24"/>
        </w:rPr>
        <w:t xml:space="preserve"> is the potential contribution of truly long-term empty commercial properties to creating new housing supply and how does that differ across England?</w:t>
      </w:r>
    </w:p>
    <w:p w:rsidR="00750D0E" w:rsidRDefault="00750D0E" w:rsidP="00750D0E">
      <w:pPr>
        <w:autoSpaceDE w:val="0"/>
        <w:autoSpaceDN w:val="0"/>
        <w:adjustRightInd w:val="0"/>
        <w:snapToGrid w:val="0"/>
        <w:spacing w:after="0" w:line="240" w:lineRule="auto"/>
        <w:rPr>
          <w:sz w:val="24"/>
          <w:szCs w:val="24"/>
        </w:rPr>
      </w:pPr>
      <w:r w:rsidRPr="00750D0E">
        <w:rPr>
          <w:sz w:val="24"/>
          <w:szCs w:val="24"/>
        </w:rPr>
        <w:t xml:space="preserve">As regards numbers, the potential to deliver 400,000 homes from empty </w:t>
      </w:r>
      <w:r>
        <w:rPr>
          <w:sz w:val="24"/>
          <w:szCs w:val="24"/>
        </w:rPr>
        <w:t xml:space="preserve">commercial space has been </w:t>
      </w:r>
      <w:r w:rsidR="002F1FF4">
        <w:rPr>
          <w:sz w:val="24"/>
          <w:szCs w:val="24"/>
        </w:rPr>
        <w:t xml:space="preserve">widely </w:t>
      </w:r>
      <w:r>
        <w:rPr>
          <w:sz w:val="24"/>
          <w:szCs w:val="24"/>
        </w:rPr>
        <w:t>quoted.</w:t>
      </w:r>
      <w:r w:rsidR="002F1FF4">
        <w:rPr>
          <w:rStyle w:val="EndnoteReference"/>
          <w:sz w:val="24"/>
          <w:szCs w:val="24"/>
        </w:rPr>
        <w:endnoteReference w:id="3"/>
      </w:r>
      <w:r>
        <w:rPr>
          <w:sz w:val="24"/>
          <w:szCs w:val="24"/>
        </w:rPr>
        <w:t xml:space="preserve"> </w:t>
      </w:r>
      <w:r w:rsidR="0086443F">
        <w:rPr>
          <w:sz w:val="24"/>
          <w:szCs w:val="24"/>
        </w:rPr>
        <w:t xml:space="preserve"> </w:t>
      </w:r>
      <w:r w:rsidR="00153870">
        <w:rPr>
          <w:sz w:val="24"/>
          <w:szCs w:val="24"/>
        </w:rPr>
        <w:t>It would be helpful if this figure could be updated with new research.</w:t>
      </w:r>
    </w:p>
    <w:p w:rsidR="00750D0E" w:rsidRPr="00750D0E" w:rsidRDefault="00750D0E" w:rsidP="00750D0E">
      <w:pPr>
        <w:autoSpaceDE w:val="0"/>
        <w:autoSpaceDN w:val="0"/>
        <w:adjustRightInd w:val="0"/>
        <w:snapToGrid w:val="0"/>
        <w:spacing w:after="0" w:line="240" w:lineRule="auto"/>
        <w:rPr>
          <w:rFonts w:ascii="Helvetica" w:eastAsia="Times New Roman" w:hAnsi="Helvetica" w:cs="Helvetica"/>
          <w:color w:val="000000"/>
          <w:sz w:val="24"/>
          <w:szCs w:val="24"/>
          <w:lang w:val="x-none" w:eastAsia="en-GB"/>
        </w:rPr>
      </w:pPr>
    </w:p>
    <w:p w:rsidR="00BE498E" w:rsidRDefault="00E132DB" w:rsidP="00647594">
      <w:pPr>
        <w:pStyle w:val="Question"/>
        <w:spacing w:line="257" w:lineRule="auto"/>
        <w:rPr>
          <w:sz w:val="24"/>
          <w:szCs w:val="24"/>
        </w:rPr>
      </w:pPr>
      <w:r w:rsidRPr="00750D0E">
        <w:rPr>
          <w:sz w:val="24"/>
          <w:szCs w:val="24"/>
        </w:rPr>
        <w:t xml:space="preserve">Q2 </w:t>
      </w:r>
      <w:proofErr w:type="gramStart"/>
      <w:r w:rsidR="00BE498E" w:rsidRPr="00750D0E">
        <w:rPr>
          <w:sz w:val="24"/>
          <w:szCs w:val="24"/>
        </w:rPr>
        <w:t>What</w:t>
      </w:r>
      <w:proofErr w:type="gramEnd"/>
      <w:r w:rsidR="00BE498E" w:rsidRPr="00750D0E">
        <w:rPr>
          <w:sz w:val="24"/>
          <w:szCs w:val="24"/>
        </w:rPr>
        <w:t xml:space="preserve"> has been the impact of Permitted Development Rights (PDRs)?</w:t>
      </w:r>
    </w:p>
    <w:p w:rsidR="0086443F" w:rsidRDefault="007D4557" w:rsidP="0086443F">
      <w:pPr>
        <w:rPr>
          <w:sz w:val="24"/>
          <w:szCs w:val="24"/>
        </w:rPr>
      </w:pPr>
      <w:r>
        <w:rPr>
          <w:sz w:val="24"/>
          <w:szCs w:val="24"/>
        </w:rPr>
        <w:t xml:space="preserve">The PDR has not had a significant impact on the work of our Members as far as we know. </w:t>
      </w:r>
      <w:proofErr w:type="gramStart"/>
      <w:r>
        <w:rPr>
          <w:sz w:val="24"/>
          <w:szCs w:val="24"/>
        </w:rPr>
        <w:t>so</w:t>
      </w:r>
      <w:proofErr w:type="gramEnd"/>
      <w:r>
        <w:rPr>
          <w:sz w:val="24"/>
          <w:szCs w:val="24"/>
        </w:rPr>
        <w:t xml:space="preserve"> we cannot contribute much insight.  </w:t>
      </w:r>
      <w:r w:rsidR="0086443F" w:rsidRPr="0086443F">
        <w:rPr>
          <w:sz w:val="24"/>
          <w:szCs w:val="24"/>
        </w:rPr>
        <w:t xml:space="preserve">Reference should be made </w:t>
      </w:r>
      <w:r>
        <w:rPr>
          <w:sz w:val="24"/>
          <w:szCs w:val="24"/>
        </w:rPr>
        <w:t xml:space="preserve">instead </w:t>
      </w:r>
      <w:r w:rsidR="0086443F" w:rsidRPr="0086443F">
        <w:rPr>
          <w:sz w:val="24"/>
          <w:szCs w:val="24"/>
        </w:rPr>
        <w:t xml:space="preserve">to published research, such as </w:t>
      </w:r>
      <w:hyperlink r:id="rId10" w:history="1">
        <w:r w:rsidR="0086443F" w:rsidRPr="0086443F">
          <w:rPr>
            <w:rStyle w:val="Hyperlink"/>
            <w:i/>
            <w:sz w:val="24"/>
            <w:szCs w:val="24"/>
          </w:rPr>
          <w:t>Permitted development rights for office to residential conversions</w:t>
        </w:r>
      </w:hyperlink>
      <w:r w:rsidR="0086443F" w:rsidRPr="0086443F">
        <w:rPr>
          <w:sz w:val="24"/>
          <w:szCs w:val="24"/>
        </w:rPr>
        <w:t xml:space="preserve"> by London Councils</w:t>
      </w:r>
      <w:r w:rsidR="0086443F">
        <w:rPr>
          <w:sz w:val="24"/>
          <w:szCs w:val="24"/>
        </w:rPr>
        <w:t xml:space="preserve">, </w:t>
      </w:r>
      <w:r w:rsidR="00153870">
        <w:rPr>
          <w:sz w:val="24"/>
          <w:szCs w:val="24"/>
        </w:rPr>
        <w:t xml:space="preserve">and particularly </w:t>
      </w:r>
      <w:hyperlink r:id="rId11" w:history="1">
        <w:r w:rsidR="0086443F" w:rsidRPr="00153870">
          <w:rPr>
            <w:rStyle w:val="Hyperlink"/>
            <w:i/>
            <w:sz w:val="24"/>
            <w:szCs w:val="24"/>
          </w:rPr>
          <w:t>Office-to-residential conversion: Establishing the impacts of the prior approval regime</w:t>
        </w:r>
      </w:hyperlink>
      <w:r w:rsidR="0086443F">
        <w:rPr>
          <w:sz w:val="24"/>
          <w:szCs w:val="24"/>
        </w:rPr>
        <w:t xml:space="preserve"> by British Council of Offices</w:t>
      </w:r>
      <w:r w:rsidR="00213276">
        <w:rPr>
          <w:sz w:val="24"/>
          <w:szCs w:val="24"/>
        </w:rPr>
        <w:t>,</w:t>
      </w:r>
      <w:r w:rsidR="00153870">
        <w:rPr>
          <w:sz w:val="24"/>
          <w:szCs w:val="24"/>
        </w:rPr>
        <w:t xml:space="preserve"> which includes a literature review and cites other research</w:t>
      </w:r>
      <w:r w:rsidR="0086443F">
        <w:rPr>
          <w:sz w:val="24"/>
          <w:szCs w:val="24"/>
        </w:rPr>
        <w:t>.</w:t>
      </w:r>
      <w:r w:rsidR="00153870">
        <w:rPr>
          <w:sz w:val="24"/>
          <w:szCs w:val="24"/>
        </w:rPr>
        <w:t xml:space="preserve"> </w:t>
      </w:r>
      <w:r w:rsidR="00213276">
        <w:rPr>
          <w:sz w:val="24"/>
          <w:szCs w:val="24"/>
        </w:rPr>
        <w:t xml:space="preserve"> </w:t>
      </w:r>
    </w:p>
    <w:p w:rsidR="0007292A" w:rsidRPr="0086443F" w:rsidRDefault="0007292A" w:rsidP="0086443F">
      <w:pPr>
        <w:rPr>
          <w:sz w:val="24"/>
          <w:szCs w:val="24"/>
        </w:rPr>
      </w:pPr>
      <w:r>
        <w:rPr>
          <w:sz w:val="24"/>
          <w:szCs w:val="24"/>
        </w:rPr>
        <w:t xml:space="preserve">It should be noted that </w:t>
      </w:r>
      <w:r w:rsidR="006E53C1">
        <w:rPr>
          <w:sz w:val="24"/>
          <w:szCs w:val="24"/>
        </w:rPr>
        <w:t>some properties</w:t>
      </w:r>
      <w:r>
        <w:rPr>
          <w:sz w:val="24"/>
          <w:szCs w:val="24"/>
        </w:rPr>
        <w:t xml:space="preserve"> that would be suitable for conversion are not in any case covered by the PDRs (e.g. pubs</w:t>
      </w:r>
      <w:r w:rsidR="006E53C1">
        <w:rPr>
          <w:sz w:val="24"/>
          <w:szCs w:val="24"/>
        </w:rPr>
        <w:t>)</w:t>
      </w:r>
      <w:r>
        <w:rPr>
          <w:sz w:val="24"/>
          <w:szCs w:val="24"/>
        </w:rPr>
        <w:t>.</w:t>
      </w:r>
    </w:p>
    <w:p w:rsidR="00BE498E" w:rsidRDefault="00E132DB" w:rsidP="00647594">
      <w:pPr>
        <w:pStyle w:val="Question"/>
        <w:spacing w:line="257" w:lineRule="auto"/>
        <w:rPr>
          <w:sz w:val="24"/>
          <w:szCs w:val="24"/>
        </w:rPr>
      </w:pPr>
      <w:r w:rsidRPr="00750D0E">
        <w:rPr>
          <w:sz w:val="24"/>
          <w:szCs w:val="24"/>
        </w:rPr>
        <w:lastRenderedPageBreak/>
        <w:t xml:space="preserve">Q3 </w:t>
      </w:r>
      <w:r w:rsidR="00BE498E" w:rsidRPr="00750D0E">
        <w:rPr>
          <w:sz w:val="24"/>
          <w:szCs w:val="24"/>
        </w:rPr>
        <w:t>How might Government (central/local/devolved) stimulate more new homes, including affordable homes, to be created from truly empty commercial properties without encouraging the exit of commercial property that has a viable commercial future?</w:t>
      </w:r>
    </w:p>
    <w:p w:rsidR="00153870" w:rsidRPr="004B5959" w:rsidRDefault="00213276" w:rsidP="00153870">
      <w:pPr>
        <w:rPr>
          <w:sz w:val="24"/>
          <w:szCs w:val="24"/>
        </w:rPr>
      </w:pPr>
      <w:r w:rsidRPr="004B5959">
        <w:rPr>
          <w:sz w:val="24"/>
          <w:szCs w:val="24"/>
        </w:rPr>
        <w:t xml:space="preserve">This question </w:t>
      </w:r>
      <w:r w:rsidR="002510D5">
        <w:rPr>
          <w:sz w:val="24"/>
          <w:szCs w:val="24"/>
        </w:rPr>
        <w:t>involves</w:t>
      </w:r>
      <w:r w:rsidRPr="004B5959">
        <w:rPr>
          <w:sz w:val="24"/>
          <w:szCs w:val="24"/>
        </w:rPr>
        <w:t xml:space="preserve"> separate aspects</w:t>
      </w:r>
      <w:r w:rsidR="00861634">
        <w:rPr>
          <w:sz w:val="24"/>
          <w:szCs w:val="24"/>
        </w:rPr>
        <w:t>,</w:t>
      </w:r>
      <w:r w:rsidRPr="004B5959">
        <w:rPr>
          <w:sz w:val="24"/>
          <w:szCs w:val="24"/>
        </w:rPr>
        <w:t xml:space="preserve"> which we address </w:t>
      </w:r>
      <w:r w:rsidR="002510D5">
        <w:rPr>
          <w:sz w:val="24"/>
          <w:szCs w:val="24"/>
        </w:rPr>
        <w:t>individually</w:t>
      </w:r>
      <w:r w:rsidRPr="004B5959">
        <w:rPr>
          <w:sz w:val="24"/>
          <w:szCs w:val="24"/>
        </w:rPr>
        <w:t>.</w:t>
      </w:r>
    </w:p>
    <w:p w:rsidR="00213276" w:rsidRPr="004B5959" w:rsidRDefault="00213276" w:rsidP="00153870">
      <w:pPr>
        <w:rPr>
          <w:b/>
          <w:sz w:val="24"/>
          <w:szCs w:val="24"/>
        </w:rPr>
      </w:pPr>
      <w:r w:rsidRPr="004B5959">
        <w:rPr>
          <w:b/>
          <w:sz w:val="24"/>
          <w:szCs w:val="24"/>
        </w:rPr>
        <w:t>Stimulating development</w:t>
      </w:r>
    </w:p>
    <w:p w:rsidR="007D4557" w:rsidRDefault="004B5959" w:rsidP="00153870">
      <w:pPr>
        <w:rPr>
          <w:sz w:val="24"/>
          <w:szCs w:val="24"/>
        </w:rPr>
      </w:pPr>
      <w:r w:rsidRPr="004B5959">
        <w:rPr>
          <w:sz w:val="24"/>
          <w:szCs w:val="24"/>
        </w:rPr>
        <w:t xml:space="preserve">The key point the Empty Homes Network </w:t>
      </w:r>
      <w:r>
        <w:rPr>
          <w:sz w:val="24"/>
          <w:szCs w:val="24"/>
        </w:rPr>
        <w:t xml:space="preserve">would like to </w:t>
      </w:r>
      <w:r w:rsidRPr="004B5959">
        <w:rPr>
          <w:sz w:val="24"/>
          <w:szCs w:val="24"/>
        </w:rPr>
        <w:t xml:space="preserve">highlight </w:t>
      </w:r>
      <w:r>
        <w:rPr>
          <w:sz w:val="24"/>
          <w:szCs w:val="24"/>
        </w:rPr>
        <w:t>is that</w:t>
      </w:r>
      <w:r w:rsidRPr="004B5959">
        <w:rPr>
          <w:sz w:val="24"/>
          <w:szCs w:val="24"/>
        </w:rPr>
        <w:t xml:space="preserve"> </w:t>
      </w:r>
      <w:r w:rsidRPr="007D4557">
        <w:rPr>
          <w:b/>
          <w:sz w:val="24"/>
          <w:szCs w:val="24"/>
        </w:rPr>
        <w:t xml:space="preserve">broad-based empty homes initiatives </w:t>
      </w:r>
      <w:r w:rsidRPr="004B5959">
        <w:rPr>
          <w:sz w:val="24"/>
          <w:szCs w:val="24"/>
        </w:rPr>
        <w:t>create the ne</w:t>
      </w:r>
      <w:r w:rsidR="00C7200C">
        <w:rPr>
          <w:sz w:val="24"/>
          <w:szCs w:val="24"/>
        </w:rPr>
        <w:t>cessary frameworks, partnership and</w:t>
      </w:r>
      <w:r w:rsidRPr="004B5959">
        <w:rPr>
          <w:sz w:val="24"/>
          <w:szCs w:val="24"/>
        </w:rPr>
        <w:t xml:space="preserve"> skills and </w:t>
      </w:r>
      <w:r w:rsidR="00C7200C">
        <w:rPr>
          <w:sz w:val="24"/>
          <w:szCs w:val="24"/>
        </w:rPr>
        <w:t xml:space="preserve">attract the </w:t>
      </w:r>
      <w:r w:rsidRPr="004B5959">
        <w:rPr>
          <w:sz w:val="24"/>
          <w:szCs w:val="24"/>
        </w:rPr>
        <w:t xml:space="preserve">resources to stimulate </w:t>
      </w:r>
      <w:r>
        <w:rPr>
          <w:sz w:val="24"/>
          <w:szCs w:val="24"/>
        </w:rPr>
        <w:t xml:space="preserve">and enable </w:t>
      </w:r>
      <w:r w:rsidRPr="004B5959">
        <w:rPr>
          <w:sz w:val="24"/>
          <w:szCs w:val="24"/>
        </w:rPr>
        <w:t xml:space="preserve">appropriate developments.  </w:t>
      </w:r>
    </w:p>
    <w:p w:rsidR="00213276" w:rsidRDefault="004B5959" w:rsidP="00153870">
      <w:pPr>
        <w:rPr>
          <w:sz w:val="24"/>
          <w:szCs w:val="24"/>
        </w:rPr>
      </w:pPr>
      <w:r w:rsidRPr="004B5959">
        <w:rPr>
          <w:sz w:val="24"/>
          <w:szCs w:val="24"/>
        </w:rPr>
        <w:t xml:space="preserve">This is </w:t>
      </w:r>
      <w:r w:rsidR="007D4557">
        <w:rPr>
          <w:sz w:val="24"/>
          <w:szCs w:val="24"/>
        </w:rPr>
        <w:t>well</w:t>
      </w:r>
      <w:r w:rsidRPr="004B5959">
        <w:rPr>
          <w:sz w:val="24"/>
          <w:szCs w:val="24"/>
        </w:rPr>
        <w:t xml:space="preserve"> illustrated by Kent’s </w:t>
      </w:r>
      <w:r>
        <w:rPr>
          <w:sz w:val="24"/>
          <w:szCs w:val="24"/>
        </w:rPr>
        <w:t>‘</w:t>
      </w:r>
      <w:r w:rsidRPr="004B5959">
        <w:rPr>
          <w:sz w:val="24"/>
          <w:szCs w:val="24"/>
        </w:rPr>
        <w:t>No Use Empty</w:t>
      </w:r>
      <w:r>
        <w:rPr>
          <w:sz w:val="24"/>
          <w:szCs w:val="24"/>
        </w:rPr>
        <w:t>’</w:t>
      </w:r>
      <w:r w:rsidRPr="004B5959">
        <w:rPr>
          <w:sz w:val="24"/>
          <w:szCs w:val="24"/>
        </w:rPr>
        <w:t xml:space="preserve"> initiative</w:t>
      </w:r>
      <w:r w:rsidR="002510D5">
        <w:rPr>
          <w:rStyle w:val="EndnoteReference"/>
          <w:sz w:val="24"/>
          <w:szCs w:val="24"/>
        </w:rPr>
        <w:endnoteReference w:id="4"/>
      </w:r>
      <w:r>
        <w:rPr>
          <w:sz w:val="24"/>
          <w:szCs w:val="24"/>
        </w:rPr>
        <w:t>.  It can be seen from Kent case studies that many of the projects funded by its loan scheme are conversion projects and mostly the</w:t>
      </w:r>
      <w:r w:rsidR="00264122">
        <w:rPr>
          <w:sz w:val="24"/>
          <w:szCs w:val="24"/>
        </w:rPr>
        <w:t>se</w:t>
      </w:r>
      <w:r>
        <w:rPr>
          <w:sz w:val="24"/>
          <w:szCs w:val="24"/>
        </w:rPr>
        <w:t xml:space="preserve"> are conversions of commercial properties.  </w:t>
      </w:r>
      <w:r w:rsidRPr="00861634">
        <w:rPr>
          <w:b/>
          <w:sz w:val="24"/>
          <w:szCs w:val="24"/>
        </w:rPr>
        <w:t xml:space="preserve">But </w:t>
      </w:r>
      <w:r w:rsidR="007D4557" w:rsidRPr="00861634">
        <w:rPr>
          <w:b/>
          <w:sz w:val="24"/>
          <w:szCs w:val="24"/>
        </w:rPr>
        <w:t xml:space="preserve">this does not </w:t>
      </w:r>
      <w:r w:rsidR="00EA3438" w:rsidRPr="00861634">
        <w:rPr>
          <w:b/>
          <w:sz w:val="24"/>
          <w:szCs w:val="24"/>
        </w:rPr>
        <w:t>require</w:t>
      </w:r>
      <w:r w:rsidR="007D4557" w:rsidRPr="00861634">
        <w:rPr>
          <w:b/>
          <w:sz w:val="24"/>
          <w:szCs w:val="24"/>
        </w:rPr>
        <w:t xml:space="preserve"> a </w:t>
      </w:r>
      <w:r w:rsidRPr="00861634">
        <w:rPr>
          <w:b/>
          <w:sz w:val="24"/>
          <w:szCs w:val="24"/>
        </w:rPr>
        <w:t xml:space="preserve">special loan fund or </w:t>
      </w:r>
      <w:r w:rsidR="00EA3438" w:rsidRPr="00861634">
        <w:rPr>
          <w:b/>
          <w:sz w:val="24"/>
          <w:szCs w:val="24"/>
        </w:rPr>
        <w:t xml:space="preserve">dedicated </w:t>
      </w:r>
      <w:r w:rsidRPr="00861634">
        <w:rPr>
          <w:b/>
          <w:sz w:val="24"/>
          <w:szCs w:val="24"/>
        </w:rPr>
        <w:t>team</w:t>
      </w:r>
      <w:r>
        <w:rPr>
          <w:sz w:val="24"/>
          <w:szCs w:val="24"/>
        </w:rPr>
        <w:t>: it relies on the same team and loan scheme</w:t>
      </w:r>
      <w:r w:rsidR="00EA3438">
        <w:rPr>
          <w:sz w:val="24"/>
          <w:szCs w:val="24"/>
        </w:rPr>
        <w:t>,</w:t>
      </w:r>
      <w:r>
        <w:rPr>
          <w:sz w:val="24"/>
          <w:szCs w:val="24"/>
        </w:rPr>
        <w:t xml:space="preserve"> </w:t>
      </w:r>
      <w:r w:rsidR="007D4557">
        <w:rPr>
          <w:sz w:val="24"/>
          <w:szCs w:val="24"/>
        </w:rPr>
        <w:t>with the same conditions</w:t>
      </w:r>
      <w:r w:rsidR="00EA3438">
        <w:rPr>
          <w:sz w:val="24"/>
          <w:szCs w:val="24"/>
        </w:rPr>
        <w:t>,</w:t>
      </w:r>
      <w:r w:rsidR="007D4557">
        <w:rPr>
          <w:sz w:val="24"/>
          <w:szCs w:val="24"/>
        </w:rPr>
        <w:t xml:space="preserve"> </w:t>
      </w:r>
      <w:r>
        <w:rPr>
          <w:sz w:val="24"/>
          <w:szCs w:val="24"/>
        </w:rPr>
        <w:t xml:space="preserve">that is used for tackling individual street empties. </w:t>
      </w:r>
      <w:r w:rsidR="007D4557">
        <w:rPr>
          <w:sz w:val="24"/>
          <w:szCs w:val="24"/>
        </w:rPr>
        <w:t xml:space="preserve"> </w:t>
      </w:r>
    </w:p>
    <w:p w:rsidR="007D4557" w:rsidRPr="00275AB0" w:rsidRDefault="007D4557" w:rsidP="00153870">
      <w:pPr>
        <w:rPr>
          <w:sz w:val="24"/>
          <w:szCs w:val="24"/>
        </w:rPr>
      </w:pPr>
      <w:r w:rsidRPr="00275AB0">
        <w:rPr>
          <w:sz w:val="24"/>
          <w:szCs w:val="24"/>
        </w:rPr>
        <w:t xml:space="preserve">A striking feature of the Kent loan scheme is the low </w:t>
      </w:r>
      <w:r w:rsidRPr="00275AB0">
        <w:rPr>
          <w:sz w:val="24"/>
          <w:szCs w:val="24"/>
        </w:rPr>
        <w:t xml:space="preserve">net cost to the council of each </w:t>
      </w:r>
      <w:r w:rsidRPr="00275AB0">
        <w:rPr>
          <w:sz w:val="24"/>
          <w:szCs w:val="24"/>
        </w:rPr>
        <w:t xml:space="preserve">dwelling </w:t>
      </w:r>
      <w:r w:rsidRPr="00275AB0">
        <w:rPr>
          <w:sz w:val="24"/>
          <w:szCs w:val="24"/>
        </w:rPr>
        <w:t>brought into use</w:t>
      </w:r>
      <w:r w:rsidRPr="00275AB0">
        <w:rPr>
          <w:sz w:val="24"/>
          <w:szCs w:val="24"/>
        </w:rPr>
        <w:t>, which is now calculated as</w:t>
      </w:r>
      <w:r w:rsidRPr="00275AB0">
        <w:rPr>
          <w:sz w:val="24"/>
          <w:szCs w:val="24"/>
        </w:rPr>
        <w:t xml:space="preserve"> £1,900 per unit. The £1,900 is based on administration costs and lost interest (as Kent loans are interest free). </w:t>
      </w:r>
      <w:r w:rsidRPr="00275AB0">
        <w:rPr>
          <w:sz w:val="24"/>
          <w:szCs w:val="24"/>
        </w:rPr>
        <w:t xml:space="preserve">Yet </w:t>
      </w:r>
      <w:r w:rsidRPr="00275AB0">
        <w:rPr>
          <w:sz w:val="24"/>
          <w:szCs w:val="24"/>
        </w:rPr>
        <w:t xml:space="preserve">Kent County Council estimates that each £1 spent levers £20 of spending </w:t>
      </w:r>
      <w:r w:rsidR="00C7200C" w:rsidRPr="00275AB0">
        <w:rPr>
          <w:sz w:val="24"/>
          <w:szCs w:val="24"/>
        </w:rPr>
        <w:t>into</w:t>
      </w:r>
      <w:r w:rsidRPr="00275AB0">
        <w:rPr>
          <w:sz w:val="24"/>
          <w:szCs w:val="24"/>
        </w:rPr>
        <w:t xml:space="preserve"> the local economy (excluding multiplier effects)</w:t>
      </w:r>
      <w:r w:rsidR="00EA3438" w:rsidRPr="00275AB0">
        <w:rPr>
          <w:sz w:val="24"/>
          <w:szCs w:val="24"/>
        </w:rPr>
        <w:t>.  However, this is to produce housing, not affordable housing.</w:t>
      </w:r>
    </w:p>
    <w:p w:rsidR="007D4557" w:rsidRDefault="007D4557" w:rsidP="00153870">
      <w:pPr>
        <w:rPr>
          <w:sz w:val="24"/>
          <w:szCs w:val="24"/>
        </w:rPr>
      </w:pPr>
      <w:r>
        <w:rPr>
          <w:sz w:val="24"/>
          <w:szCs w:val="24"/>
        </w:rPr>
        <w:t xml:space="preserve">Commercial conversions, being larger projects, might require higher ceilings or caps on the total amount of loan available and we understand Kent is looking to raise its </w:t>
      </w:r>
      <w:r w:rsidR="00EA3438">
        <w:rPr>
          <w:sz w:val="24"/>
          <w:szCs w:val="24"/>
        </w:rPr>
        <w:t xml:space="preserve">loan </w:t>
      </w:r>
      <w:r>
        <w:rPr>
          <w:sz w:val="24"/>
          <w:szCs w:val="24"/>
        </w:rPr>
        <w:t>ceiling</w:t>
      </w:r>
      <w:r w:rsidR="00EA3438">
        <w:rPr>
          <w:sz w:val="24"/>
          <w:szCs w:val="24"/>
        </w:rPr>
        <w:t xml:space="preserve"> (up to 7 units at £25,000 per applicant=£175,000) to reflect this</w:t>
      </w:r>
      <w:r>
        <w:rPr>
          <w:sz w:val="24"/>
          <w:szCs w:val="24"/>
        </w:rPr>
        <w:t>.  Similarly it is exploring loans that are not interest-free, now that the credibility of the scheme is well established</w:t>
      </w:r>
      <w:r w:rsidR="00861634">
        <w:rPr>
          <w:sz w:val="24"/>
          <w:szCs w:val="24"/>
        </w:rPr>
        <w:t xml:space="preserve"> amongst developers</w:t>
      </w:r>
      <w:r>
        <w:rPr>
          <w:sz w:val="24"/>
          <w:szCs w:val="24"/>
        </w:rPr>
        <w:t>.</w:t>
      </w:r>
    </w:p>
    <w:p w:rsidR="002510D5" w:rsidRPr="002510D5" w:rsidRDefault="002510D5" w:rsidP="00153870">
      <w:pPr>
        <w:rPr>
          <w:b/>
          <w:sz w:val="24"/>
          <w:szCs w:val="24"/>
        </w:rPr>
      </w:pPr>
      <w:r w:rsidRPr="002510D5">
        <w:rPr>
          <w:b/>
          <w:sz w:val="24"/>
          <w:szCs w:val="24"/>
        </w:rPr>
        <w:t>Organising for success</w:t>
      </w:r>
      <w:r w:rsidR="00C7200C">
        <w:rPr>
          <w:b/>
          <w:sz w:val="24"/>
          <w:szCs w:val="24"/>
        </w:rPr>
        <w:t xml:space="preserve"> – issues of scale and culture</w:t>
      </w:r>
    </w:p>
    <w:p w:rsidR="004B5959" w:rsidRDefault="004B5959" w:rsidP="00153870">
      <w:pPr>
        <w:rPr>
          <w:sz w:val="24"/>
          <w:szCs w:val="24"/>
        </w:rPr>
      </w:pPr>
      <w:r>
        <w:rPr>
          <w:sz w:val="24"/>
          <w:szCs w:val="24"/>
        </w:rPr>
        <w:t xml:space="preserve">The successes achieved in Kent do depend on </w:t>
      </w:r>
      <w:r w:rsidR="0053382D">
        <w:rPr>
          <w:sz w:val="24"/>
          <w:szCs w:val="24"/>
        </w:rPr>
        <w:t>a developer-friendly, property-oriented culture</w:t>
      </w:r>
      <w:r w:rsidR="00EA3438">
        <w:rPr>
          <w:sz w:val="24"/>
          <w:szCs w:val="24"/>
        </w:rPr>
        <w:t xml:space="preserve"> that</w:t>
      </w:r>
      <w:r w:rsidR="0053382D">
        <w:rPr>
          <w:sz w:val="24"/>
          <w:szCs w:val="24"/>
        </w:rPr>
        <w:t xml:space="preserve"> is first and foremost an enabling culture not an enforcement culture, although Kent retains a very skilled consultant to ensure that enforcement levers are used appropriately when needed.</w:t>
      </w:r>
      <w:r>
        <w:rPr>
          <w:sz w:val="24"/>
          <w:szCs w:val="24"/>
        </w:rPr>
        <w:t xml:space="preserve"> </w:t>
      </w:r>
      <w:r w:rsidR="00EA3438">
        <w:rPr>
          <w:sz w:val="24"/>
          <w:szCs w:val="24"/>
        </w:rPr>
        <w:t xml:space="preserve"> Looking at the skills Kent brings to its work, we think this highlights the desira</w:t>
      </w:r>
      <w:r w:rsidR="002510D5">
        <w:rPr>
          <w:sz w:val="24"/>
          <w:szCs w:val="24"/>
        </w:rPr>
        <w:t xml:space="preserve">bility of </w:t>
      </w:r>
      <w:r w:rsidR="002510D5" w:rsidRPr="00861634">
        <w:rPr>
          <w:b/>
          <w:sz w:val="24"/>
          <w:szCs w:val="24"/>
        </w:rPr>
        <w:t>operating at regional or</w:t>
      </w:r>
      <w:r w:rsidR="00EA3438" w:rsidRPr="00861634">
        <w:rPr>
          <w:b/>
          <w:sz w:val="24"/>
          <w:szCs w:val="24"/>
        </w:rPr>
        <w:t xml:space="preserve"> sub-regional level</w:t>
      </w:r>
      <w:r w:rsidR="00EA3438">
        <w:rPr>
          <w:sz w:val="24"/>
          <w:szCs w:val="24"/>
        </w:rPr>
        <w:t xml:space="preserve">: many individual local authorities would struggle to </w:t>
      </w:r>
      <w:r w:rsidR="002510D5">
        <w:rPr>
          <w:sz w:val="24"/>
          <w:szCs w:val="24"/>
        </w:rPr>
        <w:t xml:space="preserve">build and </w:t>
      </w:r>
      <w:r w:rsidR="00EA3438">
        <w:rPr>
          <w:sz w:val="24"/>
          <w:szCs w:val="24"/>
        </w:rPr>
        <w:t>retain a team with the necessary skills.</w:t>
      </w:r>
    </w:p>
    <w:p w:rsidR="00EA3438" w:rsidRDefault="00EA3438" w:rsidP="00153870">
      <w:pPr>
        <w:rPr>
          <w:sz w:val="24"/>
          <w:szCs w:val="24"/>
        </w:rPr>
      </w:pPr>
      <w:r>
        <w:rPr>
          <w:sz w:val="24"/>
          <w:szCs w:val="24"/>
        </w:rPr>
        <w:t xml:space="preserve">Given that relative failure of other authorities to replicate the Kent model, we think this also highlights </w:t>
      </w:r>
      <w:r w:rsidR="002510D5">
        <w:rPr>
          <w:sz w:val="24"/>
          <w:szCs w:val="24"/>
        </w:rPr>
        <w:t>an</w:t>
      </w:r>
      <w:r>
        <w:rPr>
          <w:sz w:val="24"/>
          <w:szCs w:val="24"/>
        </w:rPr>
        <w:t xml:space="preserve"> </w:t>
      </w:r>
      <w:r w:rsidRPr="00861634">
        <w:rPr>
          <w:b/>
          <w:sz w:val="24"/>
          <w:szCs w:val="24"/>
        </w:rPr>
        <w:t>important role that central government could play</w:t>
      </w:r>
      <w:r>
        <w:rPr>
          <w:sz w:val="24"/>
          <w:szCs w:val="24"/>
        </w:rPr>
        <w:t xml:space="preserve"> in facilitating the development of the necessary partnerships. </w:t>
      </w:r>
      <w:r w:rsidR="002510D5">
        <w:rPr>
          <w:sz w:val="24"/>
          <w:szCs w:val="24"/>
        </w:rPr>
        <w:t xml:space="preserve"> The Welsh model is a good one: in order to access the government’s ‘Houses to Homes’ loan fund local authorities first had to set up effective sub-regional partnerships.</w:t>
      </w:r>
      <w:r w:rsidR="00861634">
        <w:rPr>
          <w:rStyle w:val="EndnoteReference"/>
          <w:sz w:val="24"/>
          <w:szCs w:val="24"/>
        </w:rPr>
        <w:endnoteReference w:id="5"/>
      </w:r>
    </w:p>
    <w:p w:rsidR="00C7200C" w:rsidRDefault="00C7200C" w:rsidP="00153870">
      <w:pPr>
        <w:rPr>
          <w:sz w:val="24"/>
          <w:szCs w:val="24"/>
        </w:rPr>
      </w:pPr>
      <w:r>
        <w:rPr>
          <w:sz w:val="24"/>
          <w:szCs w:val="24"/>
        </w:rPr>
        <w:t xml:space="preserve">A </w:t>
      </w:r>
      <w:r w:rsidRPr="00C7200C">
        <w:rPr>
          <w:b/>
          <w:sz w:val="24"/>
          <w:szCs w:val="24"/>
        </w:rPr>
        <w:t xml:space="preserve">national loan </w:t>
      </w:r>
      <w:r w:rsidR="007E5484">
        <w:rPr>
          <w:b/>
          <w:sz w:val="24"/>
          <w:szCs w:val="24"/>
        </w:rPr>
        <w:t>fund</w:t>
      </w:r>
      <w:r>
        <w:rPr>
          <w:sz w:val="24"/>
          <w:szCs w:val="24"/>
        </w:rPr>
        <w:t xml:space="preserve">, </w:t>
      </w:r>
      <w:r w:rsidR="007E5484">
        <w:rPr>
          <w:sz w:val="24"/>
          <w:szCs w:val="24"/>
        </w:rPr>
        <w:t xml:space="preserve">similar to the Welsh </w:t>
      </w:r>
      <w:r w:rsidR="007E5484" w:rsidRPr="007E5484">
        <w:rPr>
          <w:i/>
          <w:sz w:val="24"/>
          <w:szCs w:val="24"/>
        </w:rPr>
        <w:t>Houses to Homes</w:t>
      </w:r>
      <w:r w:rsidR="007E5484">
        <w:rPr>
          <w:sz w:val="24"/>
          <w:szCs w:val="24"/>
        </w:rPr>
        <w:t xml:space="preserve"> fund, </w:t>
      </w:r>
      <w:r>
        <w:rPr>
          <w:sz w:val="24"/>
          <w:szCs w:val="24"/>
        </w:rPr>
        <w:t xml:space="preserve">made available to groups of local authorities that are adequately organised to deliver, </w:t>
      </w:r>
      <w:r w:rsidR="007E5484">
        <w:rPr>
          <w:sz w:val="24"/>
          <w:szCs w:val="24"/>
        </w:rPr>
        <w:t>would provide a vital platform.</w:t>
      </w:r>
    </w:p>
    <w:p w:rsidR="007D4557" w:rsidRPr="007D4557" w:rsidRDefault="007D4557" w:rsidP="00153870">
      <w:pPr>
        <w:rPr>
          <w:b/>
          <w:sz w:val="24"/>
          <w:szCs w:val="24"/>
        </w:rPr>
      </w:pPr>
      <w:r w:rsidRPr="007D4557">
        <w:rPr>
          <w:b/>
          <w:sz w:val="24"/>
          <w:szCs w:val="24"/>
        </w:rPr>
        <w:lastRenderedPageBreak/>
        <w:t>Affordable housing</w:t>
      </w:r>
    </w:p>
    <w:p w:rsidR="00D41A78" w:rsidRDefault="007D4557" w:rsidP="00153870">
      <w:pPr>
        <w:rPr>
          <w:sz w:val="24"/>
          <w:szCs w:val="24"/>
        </w:rPr>
      </w:pPr>
      <w:r>
        <w:rPr>
          <w:sz w:val="24"/>
          <w:szCs w:val="24"/>
        </w:rPr>
        <w:t xml:space="preserve">The provision of affordable housing does </w:t>
      </w:r>
      <w:r w:rsidR="0053382D">
        <w:rPr>
          <w:sz w:val="24"/>
          <w:szCs w:val="24"/>
        </w:rPr>
        <w:t xml:space="preserve">bring further complexity in its wake.  With standard loan schemes, once the loan is repaid </w:t>
      </w:r>
      <w:r w:rsidR="0007292A">
        <w:rPr>
          <w:sz w:val="24"/>
          <w:szCs w:val="24"/>
        </w:rPr>
        <w:t>after</w:t>
      </w:r>
      <w:r w:rsidR="0053382D">
        <w:rPr>
          <w:sz w:val="24"/>
          <w:szCs w:val="24"/>
        </w:rPr>
        <w:t xml:space="preserve"> 2 or 3 years, that is the end of the relationship with the developer. The provision of affordable housing </w:t>
      </w:r>
      <w:r w:rsidR="00964F79">
        <w:rPr>
          <w:sz w:val="24"/>
          <w:szCs w:val="24"/>
        </w:rPr>
        <w:t>requires</w:t>
      </w:r>
      <w:r w:rsidR="0053382D">
        <w:rPr>
          <w:sz w:val="24"/>
          <w:szCs w:val="24"/>
        </w:rPr>
        <w:t xml:space="preserve"> longer-term relationships and </w:t>
      </w:r>
      <w:r w:rsidR="00964F79">
        <w:rPr>
          <w:sz w:val="24"/>
          <w:szCs w:val="24"/>
        </w:rPr>
        <w:t xml:space="preserve">(normally) </w:t>
      </w:r>
      <w:r w:rsidR="0053382D">
        <w:rPr>
          <w:sz w:val="24"/>
          <w:szCs w:val="24"/>
        </w:rPr>
        <w:t xml:space="preserve">the involvement of specialist providers such as Private Registered Providers </w:t>
      </w:r>
      <w:r w:rsidR="0007292A">
        <w:rPr>
          <w:sz w:val="24"/>
          <w:szCs w:val="24"/>
        </w:rPr>
        <w:t>to deliver</w:t>
      </w:r>
      <w:r w:rsidR="0053382D">
        <w:rPr>
          <w:sz w:val="24"/>
          <w:szCs w:val="24"/>
        </w:rPr>
        <w:t xml:space="preserve"> </w:t>
      </w:r>
      <w:r w:rsidR="0007292A">
        <w:rPr>
          <w:sz w:val="24"/>
          <w:szCs w:val="24"/>
        </w:rPr>
        <w:t xml:space="preserve">regulated </w:t>
      </w:r>
      <w:r w:rsidR="0053382D">
        <w:rPr>
          <w:sz w:val="24"/>
          <w:szCs w:val="24"/>
        </w:rPr>
        <w:t>housing management</w:t>
      </w:r>
      <w:r w:rsidR="0007292A">
        <w:rPr>
          <w:sz w:val="24"/>
          <w:szCs w:val="24"/>
        </w:rPr>
        <w:t xml:space="preserve"> services</w:t>
      </w:r>
      <w:r w:rsidR="0053382D">
        <w:rPr>
          <w:sz w:val="24"/>
          <w:szCs w:val="24"/>
        </w:rPr>
        <w:t>;</w:t>
      </w:r>
      <w:r w:rsidR="00D41A78">
        <w:rPr>
          <w:sz w:val="24"/>
          <w:szCs w:val="24"/>
        </w:rPr>
        <w:t xml:space="preserve"> and</w:t>
      </w:r>
      <w:r w:rsidR="0053382D">
        <w:rPr>
          <w:sz w:val="24"/>
          <w:szCs w:val="24"/>
        </w:rPr>
        <w:t xml:space="preserve"> in particular it implies the availability of subsidy.  </w:t>
      </w:r>
    </w:p>
    <w:p w:rsidR="0053382D" w:rsidRDefault="00EA3438" w:rsidP="00153870">
      <w:pPr>
        <w:rPr>
          <w:sz w:val="24"/>
          <w:szCs w:val="24"/>
        </w:rPr>
      </w:pPr>
      <w:r>
        <w:rPr>
          <w:sz w:val="24"/>
          <w:szCs w:val="24"/>
        </w:rPr>
        <w:t xml:space="preserve">The </w:t>
      </w:r>
      <w:r w:rsidR="00D41A78">
        <w:rPr>
          <w:sz w:val="24"/>
          <w:szCs w:val="24"/>
        </w:rPr>
        <w:t xml:space="preserve">provision </w:t>
      </w:r>
      <w:r>
        <w:rPr>
          <w:sz w:val="24"/>
          <w:szCs w:val="24"/>
        </w:rPr>
        <w:t xml:space="preserve">of subsidised affordable housing and </w:t>
      </w:r>
      <w:r w:rsidR="00D41A78">
        <w:rPr>
          <w:sz w:val="24"/>
          <w:szCs w:val="24"/>
        </w:rPr>
        <w:t xml:space="preserve">viable </w:t>
      </w:r>
      <w:r>
        <w:rPr>
          <w:sz w:val="24"/>
          <w:szCs w:val="24"/>
        </w:rPr>
        <w:t>conversion</w:t>
      </w:r>
      <w:r w:rsidR="00D41A78">
        <w:rPr>
          <w:sz w:val="24"/>
          <w:szCs w:val="24"/>
        </w:rPr>
        <w:t>s</w:t>
      </w:r>
      <w:r>
        <w:rPr>
          <w:sz w:val="24"/>
          <w:szCs w:val="24"/>
        </w:rPr>
        <w:t xml:space="preserve"> of commercial properties into homes need to be carefully distinguished, so that the opportunities available for the latter and the challenges posed by the former are </w:t>
      </w:r>
      <w:r w:rsidR="00861634">
        <w:rPr>
          <w:sz w:val="24"/>
          <w:szCs w:val="24"/>
        </w:rPr>
        <w:t>properly understood</w:t>
      </w:r>
      <w:r>
        <w:rPr>
          <w:sz w:val="24"/>
          <w:szCs w:val="24"/>
        </w:rPr>
        <w:t xml:space="preserve">. </w:t>
      </w:r>
      <w:r w:rsidR="00861634">
        <w:rPr>
          <w:sz w:val="24"/>
          <w:szCs w:val="24"/>
        </w:rPr>
        <w:t xml:space="preserve"> </w:t>
      </w:r>
    </w:p>
    <w:p w:rsidR="00831893" w:rsidRDefault="00831893" w:rsidP="00831893">
      <w:pPr>
        <w:rPr>
          <w:sz w:val="24"/>
          <w:szCs w:val="24"/>
        </w:rPr>
      </w:pPr>
      <w:r>
        <w:rPr>
          <w:sz w:val="24"/>
          <w:szCs w:val="24"/>
        </w:rPr>
        <w:t xml:space="preserve">We saw signs during the coalition government’s empty homes programme that some people held naïve expectations that bringing empty homes back into use could produce affordable housing by magic, so that the government grant was connected in peoples’ minds with repair or conversion costs rather than subsidies to produce affordable rents – although the latter was in fact the only ‘official’ rationale for the grant being given. </w:t>
      </w:r>
    </w:p>
    <w:p w:rsidR="00831893" w:rsidRDefault="00831893" w:rsidP="00831893">
      <w:pPr>
        <w:rPr>
          <w:sz w:val="24"/>
          <w:szCs w:val="24"/>
        </w:rPr>
      </w:pPr>
      <w:r>
        <w:rPr>
          <w:sz w:val="24"/>
          <w:szCs w:val="24"/>
        </w:rPr>
        <w:t>F</w:t>
      </w:r>
      <w:r>
        <w:rPr>
          <w:sz w:val="24"/>
          <w:szCs w:val="24"/>
        </w:rPr>
        <w:t xml:space="preserve">ocusing </w:t>
      </w:r>
      <w:r w:rsidRPr="00D529C5">
        <w:rPr>
          <w:i/>
          <w:sz w:val="24"/>
          <w:szCs w:val="24"/>
        </w:rPr>
        <w:t>exclusively</w:t>
      </w:r>
      <w:r>
        <w:rPr>
          <w:sz w:val="24"/>
          <w:szCs w:val="24"/>
        </w:rPr>
        <w:t xml:space="preserve"> on affordable housing</w:t>
      </w:r>
      <w:r>
        <w:rPr>
          <w:sz w:val="24"/>
          <w:szCs w:val="24"/>
        </w:rPr>
        <w:t>, whether in conversions or empty homes work generally,</w:t>
      </w:r>
      <w:r>
        <w:rPr>
          <w:sz w:val="24"/>
          <w:szCs w:val="24"/>
        </w:rPr>
        <w:t xml:space="preserve"> </w:t>
      </w:r>
      <w:r>
        <w:rPr>
          <w:sz w:val="24"/>
          <w:szCs w:val="24"/>
        </w:rPr>
        <w:t>w</w:t>
      </w:r>
      <w:r>
        <w:rPr>
          <w:sz w:val="24"/>
          <w:szCs w:val="24"/>
        </w:rPr>
        <w:t xml:space="preserve">ould make it harder to achieve the scale of delivery needed </w:t>
      </w:r>
      <w:r>
        <w:rPr>
          <w:sz w:val="24"/>
          <w:szCs w:val="24"/>
        </w:rPr>
        <w:t>for a viable initiative and would have a negative impact on its longer-term sustainability, which would be</w:t>
      </w:r>
      <w:r w:rsidR="00275AB0">
        <w:rPr>
          <w:sz w:val="24"/>
          <w:szCs w:val="24"/>
        </w:rPr>
        <w:t>come</w:t>
      </w:r>
      <w:r>
        <w:rPr>
          <w:sz w:val="24"/>
          <w:szCs w:val="24"/>
        </w:rPr>
        <w:t xml:space="preserve"> </w:t>
      </w:r>
      <w:r w:rsidR="00275AB0">
        <w:rPr>
          <w:sz w:val="24"/>
          <w:szCs w:val="24"/>
        </w:rPr>
        <w:t>subject to</w:t>
      </w:r>
      <w:r>
        <w:rPr>
          <w:sz w:val="24"/>
          <w:szCs w:val="24"/>
        </w:rPr>
        <w:t xml:space="preserve"> fluctuations in </w:t>
      </w:r>
      <w:r w:rsidR="00275AB0">
        <w:rPr>
          <w:sz w:val="24"/>
          <w:szCs w:val="24"/>
        </w:rPr>
        <w:t xml:space="preserve">the </w:t>
      </w:r>
      <w:r>
        <w:rPr>
          <w:sz w:val="24"/>
          <w:szCs w:val="24"/>
        </w:rPr>
        <w:t xml:space="preserve">level of government grant and changing government priorities.  </w:t>
      </w:r>
      <w:r>
        <w:rPr>
          <w:sz w:val="24"/>
          <w:szCs w:val="24"/>
        </w:rPr>
        <w:t xml:space="preserve">On the other hand, in disadvantaged areas, affordable housing might be the only viable option for some redundant </w:t>
      </w:r>
      <w:r>
        <w:rPr>
          <w:sz w:val="24"/>
          <w:szCs w:val="24"/>
        </w:rPr>
        <w:t xml:space="preserve">commercial </w:t>
      </w:r>
      <w:r>
        <w:rPr>
          <w:sz w:val="24"/>
          <w:szCs w:val="24"/>
        </w:rPr>
        <w:t>properties: private sector developers might consider them too risky</w:t>
      </w:r>
      <w:r w:rsidR="00275AB0">
        <w:rPr>
          <w:sz w:val="24"/>
          <w:szCs w:val="24"/>
        </w:rPr>
        <w:t xml:space="preserve"> regardless of the availability of loan finance</w:t>
      </w:r>
      <w:r>
        <w:rPr>
          <w:sz w:val="24"/>
          <w:szCs w:val="24"/>
        </w:rPr>
        <w:t xml:space="preserve">. </w:t>
      </w:r>
    </w:p>
    <w:p w:rsidR="0083536F" w:rsidRDefault="0083536F" w:rsidP="0083536F">
      <w:pPr>
        <w:rPr>
          <w:b/>
          <w:sz w:val="24"/>
          <w:szCs w:val="24"/>
        </w:rPr>
      </w:pPr>
      <w:r w:rsidRPr="0083536F">
        <w:rPr>
          <w:b/>
          <w:sz w:val="24"/>
          <w:szCs w:val="24"/>
        </w:rPr>
        <w:t>Discouraging inappropriate conversions</w:t>
      </w:r>
    </w:p>
    <w:p w:rsidR="0083536F" w:rsidRDefault="0083536F" w:rsidP="0083536F">
      <w:pPr>
        <w:rPr>
          <w:sz w:val="24"/>
          <w:szCs w:val="24"/>
        </w:rPr>
      </w:pPr>
      <w:r w:rsidRPr="0083536F">
        <w:rPr>
          <w:sz w:val="24"/>
          <w:szCs w:val="24"/>
        </w:rPr>
        <w:t xml:space="preserve">An obvious solution to the problem of conversions that undermine </w:t>
      </w:r>
      <w:r>
        <w:rPr>
          <w:sz w:val="24"/>
          <w:szCs w:val="24"/>
        </w:rPr>
        <w:t xml:space="preserve">local priorities for land use would be to revoke or refine the relevant Permitted Development Rights.  Processes could be put in place to determine the viability of possible commercial uses.  But government policy is clear </w:t>
      </w:r>
      <w:r w:rsidR="00FD2D8A">
        <w:rPr>
          <w:sz w:val="24"/>
          <w:szCs w:val="24"/>
        </w:rPr>
        <w:t>and has been widely debated and challenged</w:t>
      </w:r>
      <w:r>
        <w:rPr>
          <w:sz w:val="24"/>
          <w:szCs w:val="24"/>
        </w:rPr>
        <w:t xml:space="preserve">, so there seems little value in pursuing </w:t>
      </w:r>
      <w:r w:rsidR="00FD2D8A">
        <w:rPr>
          <w:sz w:val="24"/>
          <w:szCs w:val="24"/>
        </w:rPr>
        <w:t xml:space="preserve">further challenges beyond collecting the evidence necessary to influence future policy. </w:t>
      </w:r>
    </w:p>
    <w:p w:rsidR="0083536F" w:rsidRPr="0083536F" w:rsidRDefault="0083536F" w:rsidP="0083536F">
      <w:pPr>
        <w:rPr>
          <w:sz w:val="24"/>
          <w:szCs w:val="24"/>
        </w:rPr>
      </w:pPr>
      <w:r>
        <w:rPr>
          <w:sz w:val="24"/>
          <w:szCs w:val="24"/>
        </w:rPr>
        <w:t>Otherwise, to the extent that a local authority is an enabler, it can decide what it wants to enable.</w:t>
      </w:r>
    </w:p>
    <w:p w:rsidR="00BE498E" w:rsidRPr="00750D0E" w:rsidRDefault="00E132DB" w:rsidP="00647594">
      <w:pPr>
        <w:pStyle w:val="Question"/>
        <w:spacing w:line="257" w:lineRule="auto"/>
        <w:rPr>
          <w:sz w:val="24"/>
          <w:szCs w:val="24"/>
        </w:rPr>
      </w:pPr>
      <w:r w:rsidRPr="00750D0E">
        <w:rPr>
          <w:sz w:val="24"/>
          <w:szCs w:val="24"/>
        </w:rPr>
        <w:t xml:space="preserve">Q4 </w:t>
      </w:r>
      <w:proofErr w:type="gramStart"/>
      <w:r w:rsidR="00BE498E" w:rsidRPr="00750D0E">
        <w:rPr>
          <w:sz w:val="24"/>
          <w:szCs w:val="24"/>
        </w:rPr>
        <w:t>What</w:t>
      </w:r>
      <w:proofErr w:type="gramEnd"/>
      <w:r w:rsidR="00BE498E" w:rsidRPr="00750D0E">
        <w:rPr>
          <w:sz w:val="24"/>
          <w:szCs w:val="24"/>
        </w:rPr>
        <w:t xml:space="preserve"> role could/should different parts of the housing sector play in creating new homes through long-term empty commercial properties?  </w:t>
      </w:r>
    </w:p>
    <w:p w:rsidR="00FD2D8A" w:rsidRDefault="00FD2D8A" w:rsidP="00831893">
      <w:pPr>
        <w:rPr>
          <w:sz w:val="24"/>
          <w:szCs w:val="24"/>
        </w:rPr>
      </w:pPr>
      <w:r>
        <w:rPr>
          <w:sz w:val="24"/>
          <w:szCs w:val="24"/>
        </w:rPr>
        <w:t xml:space="preserve">In our view, if the market has not already brought a long-term empty commercial property back into use, then it suggests the need for </w:t>
      </w:r>
      <w:r>
        <w:rPr>
          <w:sz w:val="24"/>
          <w:szCs w:val="24"/>
        </w:rPr>
        <w:t xml:space="preserve">greater </w:t>
      </w:r>
      <w:r>
        <w:rPr>
          <w:sz w:val="24"/>
          <w:szCs w:val="24"/>
        </w:rPr>
        <w:t xml:space="preserve">involvement by </w:t>
      </w:r>
      <w:r w:rsidRPr="00FD2D8A">
        <w:rPr>
          <w:b/>
          <w:sz w:val="24"/>
          <w:szCs w:val="24"/>
        </w:rPr>
        <w:t>statutory agencies</w:t>
      </w:r>
      <w:r>
        <w:rPr>
          <w:sz w:val="24"/>
          <w:szCs w:val="24"/>
        </w:rPr>
        <w:t xml:space="preserve">.  The local authority – preferably as part of a wider partnership with adequate skills – should be the linchpin of successful efforts.  This would normally be as an enabler – </w:t>
      </w:r>
      <w:proofErr w:type="spellStart"/>
      <w:r>
        <w:rPr>
          <w:sz w:val="24"/>
          <w:szCs w:val="24"/>
        </w:rPr>
        <w:t>eg</w:t>
      </w:r>
      <w:proofErr w:type="spellEnd"/>
      <w:r>
        <w:rPr>
          <w:sz w:val="24"/>
          <w:szCs w:val="24"/>
        </w:rPr>
        <w:t xml:space="preserve"> via low-cost loans – but could also include direct delivery. We would expect local authority intervention</w:t>
      </w:r>
      <w:r w:rsidR="00275AB0">
        <w:rPr>
          <w:sz w:val="24"/>
          <w:szCs w:val="24"/>
        </w:rPr>
        <w:t xml:space="preserve">s to be on the back of holistic, sustainable </w:t>
      </w:r>
      <w:r>
        <w:rPr>
          <w:sz w:val="24"/>
          <w:szCs w:val="24"/>
        </w:rPr>
        <w:t>empty homes strategies</w:t>
      </w:r>
    </w:p>
    <w:p w:rsidR="00FD2D8A" w:rsidRDefault="00FD2D8A" w:rsidP="00831893">
      <w:pPr>
        <w:rPr>
          <w:sz w:val="24"/>
          <w:szCs w:val="24"/>
        </w:rPr>
      </w:pPr>
      <w:r>
        <w:rPr>
          <w:sz w:val="24"/>
          <w:szCs w:val="24"/>
        </w:rPr>
        <w:lastRenderedPageBreak/>
        <w:t xml:space="preserve">The successes of the Kent and Wales loan scheme demonstrates the potential for such schemes to draw in private finance and help the private sector tackle empty commercial properties. Refinements might be put in place to reduce the amount of ‘deadweight’ i.e. to avoid providing loans on projects that would have happened anyway.  We consider the availability of loan finance via governmental agencies as an important </w:t>
      </w:r>
    </w:p>
    <w:p w:rsidR="00831893" w:rsidRDefault="00831893" w:rsidP="00831893">
      <w:pPr>
        <w:rPr>
          <w:sz w:val="24"/>
          <w:szCs w:val="24"/>
        </w:rPr>
      </w:pPr>
      <w:r>
        <w:rPr>
          <w:sz w:val="24"/>
          <w:szCs w:val="24"/>
        </w:rPr>
        <w:t xml:space="preserve">Where they exist, </w:t>
      </w:r>
      <w:r w:rsidRPr="0007292A">
        <w:rPr>
          <w:b/>
          <w:sz w:val="24"/>
          <w:szCs w:val="24"/>
        </w:rPr>
        <w:t>community-led housing organisations</w:t>
      </w:r>
      <w:r>
        <w:rPr>
          <w:sz w:val="24"/>
          <w:szCs w:val="24"/>
        </w:rPr>
        <w:t xml:space="preserve"> can play a vital role in conversion projects aimed at producing affordable housing.  Many projects funded by the Empty Homes Community Grants Programme were in fact conversions of redundant commercial properties.  Not only do they produce many social benefits such as training, employment and volunteering opportunities, but their low overheads and ability to source and manage construction work at reasonable costs mean that they can undertake projects considered unviable or too risky for larger social housing organisations. All of the partnerships that have won Empty Homes Awards in the Local Authority/Community Housing Organisation category focused mainly or exclusively on conversion projects. </w:t>
      </w:r>
    </w:p>
    <w:p w:rsidR="00831893" w:rsidRDefault="00831893" w:rsidP="00831893">
      <w:pPr>
        <w:rPr>
          <w:sz w:val="24"/>
          <w:szCs w:val="24"/>
        </w:rPr>
      </w:pPr>
      <w:r>
        <w:rPr>
          <w:sz w:val="24"/>
          <w:szCs w:val="24"/>
        </w:rPr>
        <w:t xml:space="preserve">Again, it is important to emphasise that these successful conversion projects were predicated on a </w:t>
      </w:r>
      <w:r w:rsidRPr="00D529C5">
        <w:rPr>
          <w:b/>
          <w:sz w:val="24"/>
          <w:szCs w:val="24"/>
        </w:rPr>
        <w:t xml:space="preserve">generic grant regime </w:t>
      </w:r>
      <w:r w:rsidRPr="00D529C5">
        <w:rPr>
          <w:sz w:val="24"/>
          <w:szCs w:val="24"/>
        </w:rPr>
        <w:t>(i.e. the EHCGP)</w:t>
      </w:r>
      <w:r>
        <w:rPr>
          <w:sz w:val="24"/>
          <w:szCs w:val="24"/>
        </w:rPr>
        <w:t xml:space="preserve"> and were part of </w:t>
      </w:r>
      <w:r w:rsidRPr="00D529C5">
        <w:rPr>
          <w:b/>
          <w:sz w:val="24"/>
          <w:szCs w:val="24"/>
        </w:rPr>
        <w:t>generic initiatives to tackle empty homes</w:t>
      </w:r>
      <w:r>
        <w:rPr>
          <w:sz w:val="24"/>
          <w:szCs w:val="24"/>
        </w:rPr>
        <w:t xml:space="preserve"> as for example in the Hull Partnership</w:t>
      </w:r>
      <w:r>
        <w:rPr>
          <w:rStyle w:val="EndnoteReference"/>
          <w:sz w:val="24"/>
          <w:szCs w:val="24"/>
        </w:rPr>
        <w:endnoteReference w:id="6"/>
      </w:r>
      <w:r>
        <w:rPr>
          <w:sz w:val="24"/>
          <w:szCs w:val="24"/>
        </w:rPr>
        <w:t xml:space="preserve">.  </w:t>
      </w:r>
      <w:proofErr w:type="gramStart"/>
      <w:r>
        <w:rPr>
          <w:sz w:val="24"/>
          <w:szCs w:val="24"/>
        </w:rPr>
        <w:t>it</w:t>
      </w:r>
      <w:proofErr w:type="gramEnd"/>
      <w:r>
        <w:rPr>
          <w:sz w:val="24"/>
          <w:szCs w:val="24"/>
        </w:rPr>
        <w:t xml:space="preserve"> is unlikely that, say, an initiative that focused exclusively on conversions would have been </w:t>
      </w:r>
      <w:r>
        <w:rPr>
          <w:sz w:val="24"/>
          <w:szCs w:val="24"/>
        </w:rPr>
        <w:t>viable.</w:t>
      </w:r>
      <w:r w:rsidR="00390C81">
        <w:rPr>
          <w:sz w:val="24"/>
          <w:szCs w:val="24"/>
        </w:rPr>
        <w:t xml:space="preserve">  </w:t>
      </w:r>
      <w:r w:rsidRPr="00390C81">
        <w:rPr>
          <w:b/>
          <w:sz w:val="24"/>
          <w:szCs w:val="24"/>
        </w:rPr>
        <w:t>We think that a successor to the EHCGP should be introduce</w:t>
      </w:r>
      <w:r w:rsidR="0083536F" w:rsidRPr="00390C81">
        <w:rPr>
          <w:b/>
          <w:sz w:val="24"/>
          <w:szCs w:val="24"/>
        </w:rPr>
        <w:t>d to maintain this flow of conversions for affordable housing</w:t>
      </w:r>
      <w:r w:rsidR="0083536F">
        <w:rPr>
          <w:sz w:val="24"/>
          <w:szCs w:val="24"/>
        </w:rPr>
        <w:t>.</w:t>
      </w:r>
    </w:p>
    <w:p w:rsidR="0083536F" w:rsidRPr="0083536F" w:rsidRDefault="0083536F" w:rsidP="00831893">
      <w:pPr>
        <w:rPr>
          <w:sz w:val="24"/>
          <w:szCs w:val="24"/>
        </w:rPr>
      </w:pPr>
      <w:r>
        <w:rPr>
          <w:sz w:val="24"/>
          <w:szCs w:val="24"/>
        </w:rPr>
        <w:t xml:space="preserve">The limitations of community-led housing organisations to deliver at scale also need to be recognised, both in terms of the capacity of </w:t>
      </w:r>
      <w:r w:rsidR="00390C81">
        <w:rPr>
          <w:sz w:val="24"/>
          <w:szCs w:val="24"/>
        </w:rPr>
        <w:t>existing</w:t>
      </w:r>
      <w:r>
        <w:rPr>
          <w:sz w:val="24"/>
          <w:szCs w:val="24"/>
        </w:rPr>
        <w:t xml:space="preserve"> organisation</w:t>
      </w:r>
      <w:r w:rsidR="00390C81">
        <w:rPr>
          <w:sz w:val="24"/>
          <w:szCs w:val="24"/>
        </w:rPr>
        <w:t>s</w:t>
      </w:r>
      <w:r>
        <w:rPr>
          <w:sz w:val="24"/>
          <w:szCs w:val="24"/>
        </w:rPr>
        <w:t xml:space="preserve"> to deliver and also given the lack of candidate organisations in many if not most areas</w:t>
      </w:r>
      <w:r w:rsidR="00390C81">
        <w:rPr>
          <w:sz w:val="24"/>
          <w:szCs w:val="24"/>
        </w:rPr>
        <w:t xml:space="preserve"> of the country</w:t>
      </w:r>
      <w:r>
        <w:rPr>
          <w:sz w:val="24"/>
          <w:szCs w:val="24"/>
        </w:rPr>
        <w:t>.  We suggest that pilot projects are developed with government or charitable funding to explore the feasibility of expanding the sector into different areas.</w:t>
      </w:r>
      <w:r w:rsidR="00FD2D8A">
        <w:rPr>
          <w:sz w:val="24"/>
          <w:szCs w:val="24"/>
        </w:rPr>
        <w:t xml:space="preserve">  </w:t>
      </w:r>
    </w:p>
    <w:p w:rsidR="00275AB0" w:rsidRDefault="00275AB0" w:rsidP="00275AB0">
      <w:pPr>
        <w:spacing w:after="0" w:line="240" w:lineRule="auto"/>
        <w:jc w:val="center"/>
        <w:rPr>
          <w:rFonts w:ascii="Cambria" w:eastAsia="Times New Roman" w:hAnsi="Cambria"/>
          <w:b/>
          <w:bCs/>
          <w:noProof/>
          <w:color w:val="365F91"/>
          <w:sz w:val="36"/>
          <w:szCs w:val="36"/>
          <w:lang w:eastAsia="en-GB"/>
        </w:rPr>
      </w:pPr>
      <w:r>
        <w:t>-o0o-</w:t>
      </w:r>
      <w:r>
        <w:br w:type="page"/>
      </w:r>
    </w:p>
    <w:p w:rsidR="005D6828" w:rsidRDefault="005D6828" w:rsidP="00275AB0">
      <w:pPr>
        <w:pStyle w:val="Heading1"/>
      </w:pPr>
      <w:r>
        <w:lastRenderedPageBreak/>
        <w:t>About the Empty Homes Network</w:t>
      </w:r>
    </w:p>
    <w:p w:rsidR="005D6828" w:rsidRPr="00647594" w:rsidRDefault="005D6828" w:rsidP="00647594">
      <w:pPr>
        <w:spacing w:line="257" w:lineRule="auto"/>
        <w:rPr>
          <w:rFonts w:cs="Arial"/>
          <w:sz w:val="24"/>
        </w:rPr>
      </w:pPr>
      <w:r w:rsidRPr="00647594">
        <w:rPr>
          <w:rFonts w:cs="Arial"/>
          <w:sz w:val="24"/>
        </w:rPr>
        <w:t xml:space="preserve">We are a national network launched in 2001 as the </w:t>
      </w:r>
      <w:r w:rsidRPr="00647594">
        <w:rPr>
          <w:rFonts w:cs="Arial"/>
          <w:i/>
          <w:sz w:val="24"/>
        </w:rPr>
        <w:t>National Association of Empty Property Practitioners</w:t>
      </w:r>
      <w:r w:rsidRPr="00647594">
        <w:rPr>
          <w:rFonts w:cs="Arial"/>
          <w:sz w:val="24"/>
        </w:rPr>
        <w:t xml:space="preserve"> with the support of the government and the Empty Homes Agency.  Since 2002 we have been fully independent. Whilst a significant majority of our 500 members work for local authorities in private sector housing, housing enabling and empty homes teams</w:t>
      </w:r>
      <w:r w:rsidR="00275AB0">
        <w:rPr>
          <w:rFonts w:cs="Arial"/>
          <w:sz w:val="24"/>
        </w:rPr>
        <w:t>,</w:t>
      </w:r>
      <w:r w:rsidRPr="00647594">
        <w:rPr>
          <w:rFonts w:cs="Arial"/>
          <w:sz w:val="24"/>
        </w:rPr>
        <w:t xml:space="preserve"> we also have members belonging to housing associations, regeneration companies, self-help housing organisations and </w:t>
      </w:r>
      <w:r w:rsidR="00275AB0">
        <w:rPr>
          <w:rFonts w:cs="Arial"/>
          <w:sz w:val="24"/>
        </w:rPr>
        <w:t xml:space="preserve">the </w:t>
      </w:r>
      <w:r w:rsidRPr="00647594">
        <w:rPr>
          <w:rFonts w:cs="Arial"/>
          <w:sz w:val="24"/>
        </w:rPr>
        <w:t xml:space="preserve">private sector.  </w:t>
      </w:r>
      <w:r w:rsidR="00275AB0">
        <w:rPr>
          <w:rFonts w:cs="Arial"/>
          <w:sz w:val="24"/>
        </w:rPr>
        <w:t>We are committed to promoting evidence-based interventions.</w:t>
      </w:r>
    </w:p>
    <w:p w:rsidR="00A95DA1" w:rsidRDefault="00A95DA1" w:rsidP="00647594">
      <w:pPr>
        <w:spacing w:after="0" w:line="257" w:lineRule="auto"/>
        <w:rPr>
          <w:sz w:val="20"/>
          <w:szCs w:val="20"/>
        </w:rPr>
      </w:pPr>
      <w:r>
        <w:rPr>
          <w:sz w:val="20"/>
          <w:szCs w:val="20"/>
        </w:rPr>
        <w:t>Prepared for the Empty Homes Network by David Gibbens</w:t>
      </w:r>
    </w:p>
    <w:p w:rsidR="00A95DA1" w:rsidRDefault="005D6828" w:rsidP="00647594">
      <w:pPr>
        <w:spacing w:after="0" w:line="257" w:lineRule="auto"/>
        <w:rPr>
          <w:sz w:val="20"/>
          <w:szCs w:val="20"/>
        </w:rPr>
      </w:pPr>
      <w:r>
        <w:rPr>
          <w:sz w:val="20"/>
          <w:szCs w:val="20"/>
        </w:rPr>
        <w:t>2</w:t>
      </w:r>
      <w:r w:rsidR="007E5484">
        <w:rPr>
          <w:sz w:val="20"/>
          <w:szCs w:val="20"/>
        </w:rPr>
        <w:t>9</w:t>
      </w:r>
      <w:r w:rsidR="00A95DA1" w:rsidRPr="00A95DA1">
        <w:rPr>
          <w:sz w:val="20"/>
          <w:szCs w:val="20"/>
          <w:vertAlign w:val="superscript"/>
        </w:rPr>
        <w:t>th</w:t>
      </w:r>
      <w:r w:rsidR="00A95DA1">
        <w:rPr>
          <w:sz w:val="20"/>
          <w:szCs w:val="20"/>
        </w:rPr>
        <w:t xml:space="preserve"> </w:t>
      </w:r>
      <w:r>
        <w:rPr>
          <w:sz w:val="20"/>
          <w:szCs w:val="20"/>
        </w:rPr>
        <w:t>August 2016</w:t>
      </w:r>
    </w:p>
    <w:p w:rsidR="00783D1A" w:rsidRPr="00647594" w:rsidRDefault="00783D1A" w:rsidP="00647594">
      <w:pPr>
        <w:shd w:val="clear" w:color="auto" w:fill="DAEEF3"/>
        <w:tabs>
          <w:tab w:val="left" w:pos="7020"/>
        </w:tabs>
        <w:spacing w:line="257" w:lineRule="auto"/>
        <w:ind w:left="2340" w:right="1798"/>
        <w:rPr>
          <w:rFonts w:ascii="Arial" w:hAnsi="Arial" w:cs="Arial"/>
          <w:b/>
          <w:i/>
          <w:color w:val="002060"/>
          <w:sz w:val="24"/>
          <w:szCs w:val="24"/>
        </w:rPr>
      </w:pPr>
      <w:r w:rsidRPr="00647594">
        <w:rPr>
          <w:rFonts w:ascii="Arial" w:hAnsi="Arial" w:cs="Arial"/>
          <w:b/>
          <w:i/>
          <w:color w:val="002060"/>
          <w:sz w:val="24"/>
          <w:szCs w:val="24"/>
        </w:rPr>
        <w:t>For further information or clarification</w:t>
      </w:r>
    </w:p>
    <w:p w:rsidR="00783D1A" w:rsidRPr="005711C1" w:rsidRDefault="00783D1A" w:rsidP="00647594">
      <w:pPr>
        <w:shd w:val="clear" w:color="auto" w:fill="DAEEF3"/>
        <w:spacing w:after="0" w:line="257" w:lineRule="auto"/>
        <w:ind w:left="2340" w:right="1798"/>
        <w:rPr>
          <w:i/>
          <w:sz w:val="20"/>
        </w:rPr>
      </w:pPr>
      <w:r w:rsidRPr="005711C1">
        <w:rPr>
          <w:i/>
          <w:sz w:val="20"/>
        </w:rPr>
        <w:t>Contact:</w:t>
      </w:r>
    </w:p>
    <w:p w:rsidR="00783D1A" w:rsidRPr="00682D13" w:rsidRDefault="00783D1A" w:rsidP="00647594">
      <w:pPr>
        <w:shd w:val="clear" w:color="auto" w:fill="DAEEF3"/>
        <w:spacing w:after="0" w:line="257" w:lineRule="auto"/>
        <w:ind w:left="2340" w:right="1798"/>
        <w:rPr>
          <w:sz w:val="20"/>
        </w:rPr>
      </w:pPr>
      <w:bookmarkStart w:id="1" w:name="_MailAutoSig"/>
      <w:r w:rsidRPr="00682D13">
        <w:rPr>
          <w:sz w:val="20"/>
        </w:rPr>
        <w:t>David Gibbens</w:t>
      </w:r>
      <w:r>
        <w:rPr>
          <w:sz w:val="20"/>
        </w:rPr>
        <w:t>,</w:t>
      </w:r>
      <w:r w:rsidR="00732770">
        <w:rPr>
          <w:sz w:val="20"/>
        </w:rPr>
        <w:t xml:space="preserve"> Policy Lead</w:t>
      </w:r>
      <w:r>
        <w:rPr>
          <w:sz w:val="20"/>
        </w:rPr>
        <w:t xml:space="preserve"> </w:t>
      </w:r>
    </w:p>
    <w:p w:rsidR="00783D1A" w:rsidRPr="00682D13" w:rsidRDefault="00783D1A" w:rsidP="00647594">
      <w:pPr>
        <w:shd w:val="clear" w:color="auto" w:fill="DAEEF3"/>
        <w:spacing w:after="0" w:line="257" w:lineRule="auto"/>
        <w:ind w:left="2340" w:right="1798"/>
        <w:rPr>
          <w:sz w:val="20"/>
        </w:rPr>
      </w:pPr>
      <w:r>
        <w:rPr>
          <w:sz w:val="20"/>
        </w:rPr>
        <w:t>Empty Homes Network</w:t>
      </w:r>
    </w:p>
    <w:p w:rsidR="00783D1A" w:rsidRDefault="00783D1A" w:rsidP="00647594">
      <w:pPr>
        <w:shd w:val="clear" w:color="auto" w:fill="DAEEF3"/>
        <w:spacing w:after="0" w:line="257" w:lineRule="auto"/>
        <w:ind w:left="2340" w:right="1798"/>
        <w:rPr>
          <w:sz w:val="20"/>
        </w:rPr>
      </w:pPr>
      <w:r w:rsidRPr="00682D13">
        <w:rPr>
          <w:sz w:val="20"/>
        </w:rPr>
        <w:t>PO Box 703, Exeter, EX1 9PX</w:t>
      </w:r>
    </w:p>
    <w:p w:rsidR="00783D1A" w:rsidRPr="00682D13" w:rsidRDefault="00783D1A" w:rsidP="00647594">
      <w:pPr>
        <w:shd w:val="clear" w:color="auto" w:fill="DAEEF3"/>
        <w:spacing w:after="0" w:line="257" w:lineRule="auto"/>
        <w:ind w:left="2340" w:right="1798"/>
        <w:rPr>
          <w:sz w:val="20"/>
        </w:rPr>
      </w:pPr>
      <w:r>
        <w:rPr>
          <w:sz w:val="20"/>
        </w:rPr>
        <w:t xml:space="preserve">Email: </w:t>
      </w:r>
      <w:hyperlink r:id="rId12" w:history="1">
        <w:r w:rsidR="00B12C6F">
          <w:rPr>
            <w:rStyle w:val="Hyperlink"/>
            <w:sz w:val="20"/>
          </w:rPr>
          <w:t>david.gibbens@ehnetwork.org.uk</w:t>
        </w:r>
      </w:hyperlink>
      <w:r>
        <w:rPr>
          <w:sz w:val="20"/>
        </w:rPr>
        <w:t xml:space="preserve"> </w:t>
      </w:r>
    </w:p>
    <w:p w:rsidR="00783D1A" w:rsidRPr="00682D13" w:rsidRDefault="00783D1A" w:rsidP="00647594">
      <w:pPr>
        <w:shd w:val="clear" w:color="auto" w:fill="DAEEF3"/>
        <w:spacing w:after="0" w:line="257" w:lineRule="auto"/>
        <w:ind w:left="2340" w:right="1798"/>
        <w:rPr>
          <w:sz w:val="20"/>
        </w:rPr>
      </w:pPr>
      <w:r w:rsidRPr="00682D13">
        <w:rPr>
          <w:sz w:val="20"/>
        </w:rPr>
        <w:t>Tel.:</w:t>
      </w:r>
      <w:r>
        <w:rPr>
          <w:sz w:val="20"/>
        </w:rPr>
        <w:t xml:space="preserve"> </w:t>
      </w:r>
      <w:r w:rsidRPr="00682D13">
        <w:rPr>
          <w:sz w:val="20"/>
        </w:rPr>
        <w:t xml:space="preserve"> </w:t>
      </w:r>
      <w:r w:rsidR="005D6828">
        <w:rPr>
          <w:sz w:val="20"/>
        </w:rPr>
        <w:t>0303 04 01 008 (leave message) or 07528 312932</w:t>
      </w:r>
    </w:p>
    <w:p w:rsidR="00FB6097" w:rsidRDefault="00783D1A" w:rsidP="00647594">
      <w:pPr>
        <w:shd w:val="clear" w:color="auto" w:fill="DAEEF3"/>
        <w:spacing w:after="0" w:line="257" w:lineRule="auto"/>
        <w:ind w:left="2340" w:right="2104"/>
        <w:rPr>
          <w:sz w:val="20"/>
        </w:rPr>
      </w:pPr>
      <w:r w:rsidRPr="00682D13">
        <w:rPr>
          <w:sz w:val="20"/>
        </w:rPr>
        <w:t xml:space="preserve">Web: </w:t>
      </w:r>
      <w:hyperlink r:id="rId13" w:history="1">
        <w:r w:rsidRPr="001F0F73">
          <w:rPr>
            <w:rStyle w:val="Hyperlink"/>
            <w:sz w:val="20"/>
          </w:rPr>
          <w:t>www.ehnetwork.org.uk</w:t>
        </w:r>
      </w:hyperlink>
      <w:bookmarkEnd w:id="1"/>
      <w:r>
        <w:rPr>
          <w:sz w:val="20"/>
        </w:rPr>
        <w:t xml:space="preserve"> </w:t>
      </w:r>
    </w:p>
    <w:p w:rsidR="00FB6097" w:rsidRPr="00647594" w:rsidRDefault="00C7200C" w:rsidP="00C7200C">
      <w:pPr>
        <w:pStyle w:val="Heading1"/>
      </w:pPr>
      <w:r>
        <w:t>NOTES</w:t>
      </w:r>
    </w:p>
    <w:sectPr w:rsidR="00FB6097" w:rsidRPr="00647594" w:rsidSect="00647594">
      <w:headerReference w:type="default" r:id="rId14"/>
      <w:footerReference w:type="default" r:id="rId15"/>
      <w:headerReference w:type="first" r:id="rId16"/>
      <w:footerReference w:type="first" r:id="rId17"/>
      <w:endnotePr>
        <w:numFmt w:val="decimal"/>
      </w:endnotePr>
      <w:pgSz w:w="11906" w:h="16838"/>
      <w:pgMar w:top="1440" w:right="1152" w:bottom="1008" w:left="1152" w:header="706" w:footer="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604" w:rsidRDefault="00024604" w:rsidP="00AA16A9">
      <w:pPr>
        <w:spacing w:after="0" w:line="240" w:lineRule="auto"/>
      </w:pPr>
      <w:r>
        <w:separator/>
      </w:r>
    </w:p>
  </w:endnote>
  <w:endnote w:type="continuationSeparator" w:id="0">
    <w:p w:rsidR="00024604" w:rsidRDefault="00024604" w:rsidP="00AA16A9">
      <w:pPr>
        <w:spacing w:after="0" w:line="240" w:lineRule="auto"/>
      </w:pPr>
      <w:r>
        <w:continuationSeparator/>
      </w:r>
    </w:p>
  </w:endnote>
  <w:endnote w:id="1">
    <w:p w:rsidR="00C7200C" w:rsidRDefault="00C7200C" w:rsidP="00C7200C">
      <w:pPr>
        <w:pStyle w:val="EndnoteText"/>
      </w:pPr>
      <w:r>
        <w:rPr>
          <w:rStyle w:val="EndnoteReference"/>
        </w:rPr>
        <w:endnoteRef/>
      </w:r>
      <w:r>
        <w:t xml:space="preserve"> See Kent’s No Use Empty </w:t>
      </w:r>
      <w:hyperlink r:id="rId1" w:history="1">
        <w:r w:rsidRPr="001F7CE1">
          <w:rPr>
            <w:rStyle w:val="Hyperlink"/>
            <w:i/>
          </w:rPr>
          <w:t>10</w:t>
        </w:r>
        <w:r w:rsidRPr="001F7CE1">
          <w:rPr>
            <w:rStyle w:val="Hyperlink"/>
            <w:i/>
            <w:vertAlign w:val="superscript"/>
          </w:rPr>
          <w:t>th</w:t>
        </w:r>
        <w:r w:rsidRPr="001F7CE1">
          <w:rPr>
            <w:rStyle w:val="Hyperlink"/>
            <w:i/>
          </w:rPr>
          <w:t xml:space="preserve"> Anniversary Newsletter</w:t>
        </w:r>
      </w:hyperlink>
      <w:r>
        <w:t xml:space="preserve">, which highlights both the long-term success of the initiative and includes case studies of conversion projects. Further examples are documented on the NUE website at  </w:t>
      </w:r>
      <w:hyperlink r:id="rId2" w:history="1">
        <w:r w:rsidRPr="00F24232">
          <w:rPr>
            <w:rStyle w:val="Hyperlink"/>
          </w:rPr>
          <w:t>https://www.nue.org.uk/</w:t>
        </w:r>
      </w:hyperlink>
      <w:r>
        <w:t xml:space="preserve"> </w:t>
      </w:r>
    </w:p>
  </w:endnote>
  <w:endnote w:id="2">
    <w:p w:rsidR="0071680F" w:rsidRDefault="0071680F">
      <w:pPr>
        <w:pStyle w:val="EndnoteText"/>
      </w:pPr>
      <w:r>
        <w:rPr>
          <w:rStyle w:val="EndnoteReference"/>
        </w:rPr>
        <w:endnoteRef/>
      </w:r>
      <w:r>
        <w:t xml:space="preserve"> For Kent </w:t>
      </w:r>
      <w:r w:rsidR="00C7200C">
        <w:t xml:space="preserve">see previous note; for </w:t>
      </w:r>
      <w:r>
        <w:t xml:space="preserve">Wales see </w:t>
      </w:r>
      <w:r w:rsidR="00964F79">
        <w:t>note</w:t>
      </w:r>
      <w:r w:rsidR="00C7200C">
        <w:t xml:space="preserve"> 5. </w:t>
      </w:r>
      <w:r>
        <w:t xml:space="preserve"> For Scotland, see the </w:t>
      </w:r>
      <w:hyperlink r:id="rId3" w:history="1">
        <w:r w:rsidRPr="001F7CE1">
          <w:rPr>
            <w:rStyle w:val="Hyperlink"/>
          </w:rPr>
          <w:t>Annual Reports of the Scottish Empty Homes Partnership</w:t>
        </w:r>
      </w:hyperlink>
      <w:proofErr w:type="gramStart"/>
      <w:r>
        <w:t>..</w:t>
      </w:r>
      <w:proofErr w:type="gramEnd"/>
      <w:r>
        <w:t xml:space="preserve"> </w:t>
      </w:r>
    </w:p>
  </w:endnote>
  <w:endnote w:id="3">
    <w:p w:rsidR="002F1FF4" w:rsidRDefault="002F1FF4" w:rsidP="002F1FF4">
      <w:pPr>
        <w:pStyle w:val="EndnoteText"/>
      </w:pPr>
      <w:r>
        <w:rPr>
          <w:rStyle w:val="EndnoteReference"/>
        </w:rPr>
        <w:endnoteRef/>
      </w:r>
      <w:r>
        <w:t xml:space="preserve"> </w:t>
      </w:r>
      <w:r>
        <w:t>Office of the Deputy Prime Minister</w:t>
      </w:r>
      <w:r>
        <w:t>,</w:t>
      </w:r>
      <w:r>
        <w:t xml:space="preserve"> </w:t>
      </w:r>
      <w:r w:rsidRPr="002F1FF4">
        <w:rPr>
          <w:i/>
        </w:rPr>
        <w:t>Empty Property: Unlocking the Potential. A Case for Action</w:t>
      </w:r>
      <w:r>
        <w:t xml:space="preserve"> (HMSO,</w:t>
      </w:r>
    </w:p>
    <w:p w:rsidR="002F1FF4" w:rsidRDefault="002F1FF4" w:rsidP="002F1FF4">
      <w:pPr>
        <w:pStyle w:val="EndnoteText"/>
      </w:pPr>
      <w:r>
        <w:t>2003)</w:t>
      </w:r>
      <w:r>
        <w:t xml:space="preserve">. </w:t>
      </w:r>
      <w:proofErr w:type="gramStart"/>
      <w:r>
        <w:t>The</w:t>
      </w:r>
      <w:proofErr w:type="gramEnd"/>
      <w:r>
        <w:t xml:space="preserve"> original source is quoted as </w:t>
      </w:r>
      <w:r w:rsidRPr="002F1FF4">
        <w:rPr>
          <w:i/>
        </w:rPr>
        <w:t>Dwellings over and in shops in London</w:t>
      </w:r>
      <w:r>
        <w:t xml:space="preserve"> (Civic Trust/LPAC, 1998), </w:t>
      </w:r>
      <w:r w:rsidRPr="002F1FF4">
        <w:rPr>
          <w:i/>
        </w:rPr>
        <w:t>The English House Condition Survey</w:t>
      </w:r>
      <w:r>
        <w:t xml:space="preserve"> </w:t>
      </w:r>
      <w:r>
        <w:t>(DETR, 1996) and NLUD 2001.</w:t>
      </w:r>
    </w:p>
  </w:endnote>
  <w:endnote w:id="4">
    <w:p w:rsidR="002510D5" w:rsidRDefault="002510D5">
      <w:pPr>
        <w:pStyle w:val="EndnoteText"/>
      </w:pPr>
      <w:r>
        <w:rPr>
          <w:rStyle w:val="EndnoteReference"/>
        </w:rPr>
        <w:endnoteRef/>
      </w:r>
      <w:r>
        <w:t xml:space="preserve"> </w:t>
      </w:r>
      <w:r w:rsidR="00C7200C">
        <w:t>See note 1 above.</w:t>
      </w:r>
    </w:p>
  </w:endnote>
  <w:endnote w:id="5">
    <w:p w:rsidR="00861634" w:rsidRDefault="00861634">
      <w:pPr>
        <w:pStyle w:val="EndnoteText"/>
      </w:pPr>
      <w:r>
        <w:rPr>
          <w:rStyle w:val="EndnoteReference"/>
        </w:rPr>
        <w:endnoteRef/>
      </w:r>
      <w:r>
        <w:t xml:space="preserve"> </w:t>
      </w:r>
      <w:r>
        <w:t xml:space="preserve">For evidence of the Welsh loans scheme see the various evaluation reports at </w:t>
      </w:r>
      <w:hyperlink r:id="rId4" w:history="1">
        <w:proofErr w:type="spellStart"/>
        <w:r w:rsidRPr="00F24232">
          <w:rPr>
            <w:rStyle w:val="Hyperlink"/>
          </w:rPr>
          <w:t>gov.wales</w:t>
        </w:r>
        <w:proofErr w:type="spellEnd"/>
        <w:r w:rsidRPr="00F24232">
          <w:rPr>
            <w:rStyle w:val="Hyperlink"/>
          </w:rPr>
          <w:t>/statistics-and-research/houses-into-homes</w:t>
        </w:r>
      </w:hyperlink>
    </w:p>
  </w:endnote>
  <w:endnote w:id="6">
    <w:p w:rsidR="00831893" w:rsidRDefault="00831893" w:rsidP="00831893">
      <w:pPr>
        <w:pStyle w:val="EndnoteText"/>
      </w:pPr>
      <w:r>
        <w:rPr>
          <w:rStyle w:val="EndnoteReference"/>
        </w:rPr>
        <w:endnoteRef/>
      </w:r>
      <w:r>
        <w:t xml:space="preserve"> We are aware that the Taskforce already has a submission from Hull City Council which includes examples of commercial conversions.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0F" w:rsidRDefault="0071680F" w:rsidP="00B0745B">
    <w:pPr>
      <w:pStyle w:val="Footer"/>
      <w:tabs>
        <w:tab w:val="clear" w:pos="4513"/>
        <w:tab w:val="clear" w:pos="9026"/>
        <w:tab w:val="right" w:pos="9180"/>
      </w:tabs>
    </w:pPr>
    <w:r w:rsidRPr="00B20669">
      <w:rPr>
        <w:i/>
        <w:sz w:val="18"/>
        <w:szCs w:val="18"/>
      </w:rPr>
      <w:fldChar w:fldCharType="begin"/>
    </w:r>
    <w:r w:rsidRPr="00B20669">
      <w:rPr>
        <w:i/>
        <w:sz w:val="18"/>
        <w:szCs w:val="18"/>
      </w:rPr>
      <w:instrText xml:space="preserve"> FILENAME   \* MERGEFORMAT </w:instrText>
    </w:r>
    <w:r w:rsidRPr="00B20669">
      <w:rPr>
        <w:i/>
        <w:sz w:val="18"/>
        <w:szCs w:val="18"/>
      </w:rPr>
      <w:fldChar w:fldCharType="separate"/>
    </w:r>
    <w:r>
      <w:rPr>
        <w:i/>
        <w:noProof/>
        <w:sz w:val="18"/>
        <w:szCs w:val="18"/>
      </w:rPr>
      <w:t>APPG2016-ConsultationResponse-EHNv1.docx</w:t>
    </w:r>
    <w:r w:rsidRPr="00B20669">
      <w:rPr>
        <w:i/>
        <w:sz w:val="18"/>
        <w:szCs w:val="18"/>
      </w:rPr>
      <w:fldChar w:fldCharType="end"/>
    </w:r>
    <w:r>
      <w:rPr>
        <w:i/>
        <w:sz w:val="18"/>
        <w:szCs w:val="18"/>
      </w:rPr>
      <w:t xml:space="preserve">           Last saved: </w:t>
    </w:r>
    <w:r>
      <w:rPr>
        <w:i/>
        <w:sz w:val="18"/>
        <w:szCs w:val="18"/>
      </w:rPr>
      <w:fldChar w:fldCharType="begin"/>
    </w:r>
    <w:r>
      <w:rPr>
        <w:i/>
        <w:sz w:val="18"/>
        <w:szCs w:val="18"/>
      </w:rPr>
      <w:instrText xml:space="preserve"> SAVEDATE   \* MERGEFORMAT </w:instrText>
    </w:r>
    <w:r>
      <w:rPr>
        <w:i/>
        <w:sz w:val="18"/>
        <w:szCs w:val="18"/>
      </w:rPr>
      <w:fldChar w:fldCharType="separate"/>
    </w:r>
    <w:r>
      <w:rPr>
        <w:i/>
        <w:noProof/>
        <w:sz w:val="18"/>
        <w:szCs w:val="18"/>
      </w:rPr>
      <w:t>28/08/2016 13:01:00</w:t>
    </w:r>
    <w:r>
      <w:rPr>
        <w:i/>
        <w:sz w:val="18"/>
        <w:szCs w:val="18"/>
      </w:rPr>
      <w:fldChar w:fldCharType="end"/>
    </w:r>
    <w:r>
      <w:rPr>
        <w:i/>
        <w:sz w:val="18"/>
        <w:szCs w:val="18"/>
      </w:rPr>
      <w:fldChar w:fldCharType="begin"/>
    </w:r>
    <w:r>
      <w:rPr>
        <w:i/>
        <w:sz w:val="18"/>
        <w:szCs w:val="18"/>
      </w:rPr>
      <w:instrText xml:space="preserve"> PAGE   \* MERGEFORMAT </w:instrText>
    </w:r>
    <w:r>
      <w:rPr>
        <w:i/>
        <w:sz w:val="18"/>
        <w:szCs w:val="18"/>
      </w:rPr>
      <w:fldChar w:fldCharType="separate"/>
    </w:r>
    <w:r w:rsidR="00275AB0">
      <w:rPr>
        <w:i/>
        <w:noProof/>
        <w:sz w:val="18"/>
        <w:szCs w:val="18"/>
      </w:rPr>
      <w:t>2</w:t>
    </w:r>
    <w:r>
      <w:rPr>
        <w:i/>
        <w:sz w:val="18"/>
        <w:szCs w:val="18"/>
      </w:rPr>
      <w:fldChar w:fldCharType="end"/>
    </w:r>
    <w:r>
      <w:rPr>
        <w:i/>
        <w:sz w:val="18"/>
        <w:szCs w:val="18"/>
      </w:rPr>
      <w:tab/>
    </w:r>
    <w:r>
      <w:t xml:space="preserve">Page </w:t>
    </w:r>
    <w:r>
      <w:fldChar w:fldCharType="begin"/>
    </w:r>
    <w:r>
      <w:instrText xml:space="preserve"> PAGE   \* MERGEFORMAT </w:instrText>
    </w:r>
    <w:r>
      <w:fldChar w:fldCharType="separate"/>
    </w:r>
    <w:r w:rsidR="00275AB0">
      <w:rPr>
        <w:noProof/>
      </w:rPr>
      <w:t>2</w:t>
    </w:r>
    <w:r>
      <w:fldChar w:fldCharType="end"/>
    </w:r>
    <w:r>
      <w:t xml:space="preserve"> of </w:t>
    </w:r>
    <w:fldSimple w:instr=" NUMPAGES   \* MERGEFORMAT ">
      <w:r w:rsidR="00275AB0">
        <w:rPr>
          <w:noProof/>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0F" w:rsidRDefault="0071680F" w:rsidP="00144D16">
    <w:pPr>
      <w:pStyle w:val="Footer"/>
      <w:tabs>
        <w:tab w:val="clear" w:pos="4513"/>
      </w:tabs>
    </w:pPr>
    <w:r w:rsidRPr="00B20669">
      <w:rPr>
        <w:i/>
        <w:sz w:val="18"/>
        <w:szCs w:val="18"/>
      </w:rPr>
      <w:fldChar w:fldCharType="begin"/>
    </w:r>
    <w:r w:rsidRPr="00B20669">
      <w:rPr>
        <w:i/>
        <w:sz w:val="18"/>
        <w:szCs w:val="18"/>
      </w:rPr>
      <w:instrText xml:space="preserve"> FILENAME   \* MERGEFORMAT </w:instrText>
    </w:r>
    <w:r w:rsidRPr="00B20669">
      <w:rPr>
        <w:i/>
        <w:sz w:val="18"/>
        <w:szCs w:val="18"/>
      </w:rPr>
      <w:fldChar w:fldCharType="separate"/>
    </w:r>
    <w:r w:rsidR="00390C81">
      <w:rPr>
        <w:i/>
        <w:noProof/>
        <w:sz w:val="18"/>
        <w:szCs w:val="18"/>
      </w:rPr>
      <w:t>APPG2016-ConsultationResponse-conversions-EHNv1.docx</w:t>
    </w:r>
    <w:r w:rsidRPr="00B20669">
      <w:rPr>
        <w:i/>
        <w:sz w:val="18"/>
        <w:szCs w:val="18"/>
      </w:rPr>
      <w:fldChar w:fldCharType="end"/>
    </w:r>
    <w:r>
      <w:rPr>
        <w:i/>
        <w:sz w:val="18"/>
        <w:szCs w:val="18"/>
      </w:rPr>
      <w:tab/>
      <w:t xml:space="preserve">Last saved: </w:t>
    </w:r>
    <w:r>
      <w:rPr>
        <w:i/>
        <w:sz w:val="18"/>
        <w:szCs w:val="18"/>
      </w:rPr>
      <w:fldChar w:fldCharType="begin"/>
    </w:r>
    <w:r>
      <w:rPr>
        <w:i/>
        <w:sz w:val="18"/>
        <w:szCs w:val="18"/>
      </w:rPr>
      <w:instrText xml:space="preserve"> SAVEDATE   \* MERGEFORMAT </w:instrText>
    </w:r>
    <w:r>
      <w:rPr>
        <w:i/>
        <w:sz w:val="18"/>
        <w:szCs w:val="18"/>
      </w:rPr>
      <w:fldChar w:fldCharType="separate"/>
    </w:r>
    <w:r w:rsidR="00390C81">
      <w:rPr>
        <w:i/>
        <w:noProof/>
        <w:sz w:val="18"/>
        <w:szCs w:val="18"/>
      </w:rPr>
      <w:t>29/08/2016 11:52:00</w:t>
    </w:r>
    <w:r>
      <w:rPr>
        <w:i/>
        <w:sz w:val="18"/>
        <w:szCs w:val="18"/>
      </w:rPr>
      <w:fldChar w:fldCharType="end"/>
    </w:r>
    <w:r>
      <w:rPr>
        <w:i/>
        <w:sz w:val="18"/>
        <w:szCs w:val="18"/>
      </w:rPr>
      <w:fldChar w:fldCharType="begin"/>
    </w:r>
    <w:r>
      <w:rPr>
        <w:i/>
        <w:sz w:val="18"/>
        <w:szCs w:val="18"/>
      </w:rPr>
      <w:instrText xml:space="preserve"> PAGE   \* MERGEFORMAT </w:instrText>
    </w:r>
    <w:r>
      <w:rPr>
        <w:i/>
        <w:sz w:val="18"/>
        <w:szCs w:val="18"/>
      </w:rPr>
      <w:fldChar w:fldCharType="separate"/>
    </w:r>
    <w:r w:rsidR="00275AB0">
      <w:rPr>
        <w:i/>
        <w:noProof/>
        <w:sz w:val="18"/>
        <w:szCs w:val="18"/>
      </w:rPr>
      <w:t>1</w:t>
    </w:r>
    <w:r>
      <w:rP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604" w:rsidRDefault="00024604" w:rsidP="00AA16A9">
      <w:pPr>
        <w:spacing w:after="0" w:line="240" w:lineRule="auto"/>
      </w:pPr>
      <w:r>
        <w:separator/>
      </w:r>
    </w:p>
  </w:footnote>
  <w:footnote w:type="continuationSeparator" w:id="0">
    <w:p w:rsidR="00024604" w:rsidRDefault="00024604" w:rsidP="00AA1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0F" w:rsidRPr="00903A81" w:rsidRDefault="0071680F">
    <w:pPr>
      <w:pStyle w:val="Header"/>
      <w:rPr>
        <w:sz w:val="28"/>
        <w:szCs w:val="28"/>
      </w:rPr>
    </w:pPr>
    <w:r w:rsidRPr="00903A81">
      <w:rPr>
        <w:sz w:val="28"/>
        <w:szCs w:val="28"/>
      </w:rPr>
      <w:t xml:space="preserve">D R A F 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0F" w:rsidRPr="005D6828" w:rsidRDefault="0071680F" w:rsidP="00111E94">
    <w:pPr>
      <w:pStyle w:val="Header"/>
      <w:jc w:val="center"/>
      <w:rPr>
        <w:b/>
        <w:sz w:val="28"/>
        <w:szCs w:val="28"/>
      </w:rPr>
    </w:pPr>
    <w:r w:rsidRPr="005D6828">
      <w:rPr>
        <w:b/>
        <w:sz w:val="28"/>
        <w:szCs w:val="28"/>
      </w:rPr>
      <w:t>All-Party Parliamentary Group on Housing and Planning</w:t>
    </w:r>
  </w:p>
  <w:p w:rsidR="0071680F" w:rsidRDefault="0071680F" w:rsidP="00FA58AD">
    <w:pPr>
      <w:pStyle w:val="Header"/>
      <w:tabs>
        <w:tab w:val="clear" w:pos="9026"/>
        <w:tab w:val="left" w:pos="8080"/>
      </w:tabs>
      <w:ind w:right="828"/>
      <w:jc w:val="center"/>
      <w:rPr>
        <w:b/>
        <w:sz w:val="28"/>
        <w:szCs w:val="28"/>
      </w:rPr>
    </w:pPr>
    <w:r>
      <w:rPr>
        <w:b/>
        <w:sz w:val="28"/>
        <w:szCs w:val="28"/>
      </w:rPr>
      <w:t>National Housing Taskforce</w:t>
    </w:r>
  </w:p>
  <w:p w:rsidR="0071680F" w:rsidRPr="005D6828" w:rsidRDefault="0071680F" w:rsidP="00507414">
    <w:pPr>
      <w:pStyle w:val="Header"/>
      <w:jc w:val="center"/>
      <w:rPr>
        <w:b/>
        <w:sz w:val="28"/>
        <w:szCs w:val="28"/>
      </w:rPr>
    </w:pPr>
    <w:r>
      <w:rPr>
        <w:b/>
        <w:sz w:val="28"/>
        <w:szCs w:val="28"/>
      </w:rPr>
      <w:t>Submission</w:t>
    </w:r>
    <w:r w:rsidRPr="005D6828">
      <w:rPr>
        <w:b/>
        <w:sz w:val="28"/>
        <w:szCs w:val="28"/>
      </w:rPr>
      <w:t xml:space="preserve"> from the Empty Homes </w:t>
    </w:r>
    <w:proofErr w:type="gramStart"/>
    <w:r w:rsidRPr="005D6828">
      <w:rPr>
        <w:b/>
        <w:sz w:val="28"/>
        <w:szCs w:val="28"/>
      </w:rPr>
      <w:t xml:space="preserve">Network </w:t>
    </w:r>
    <w:r>
      <w:rPr>
        <w:b/>
        <w:sz w:val="28"/>
        <w:szCs w:val="28"/>
      </w:rPr>
      <w:t xml:space="preserve"> -</w:t>
    </w:r>
    <w:proofErr w:type="gramEnd"/>
    <w:r>
      <w:rPr>
        <w:b/>
        <w:sz w:val="28"/>
        <w:szCs w:val="28"/>
      </w:rPr>
      <w:t xml:space="preserve"> D R A F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1EC"/>
    <w:multiLevelType w:val="hybridMultilevel"/>
    <w:tmpl w:val="D37A8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AF500D"/>
    <w:multiLevelType w:val="hybridMultilevel"/>
    <w:tmpl w:val="AA54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D4ACF"/>
    <w:multiLevelType w:val="hybridMultilevel"/>
    <w:tmpl w:val="3A9C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0853CC"/>
    <w:multiLevelType w:val="hybridMultilevel"/>
    <w:tmpl w:val="F18AD8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08AD7AA1"/>
    <w:multiLevelType w:val="hybridMultilevel"/>
    <w:tmpl w:val="ADD680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206B2D"/>
    <w:multiLevelType w:val="hybridMultilevel"/>
    <w:tmpl w:val="3280B3D8"/>
    <w:lvl w:ilvl="0" w:tplc="D1F2BA6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5158CF"/>
    <w:multiLevelType w:val="hybridMultilevel"/>
    <w:tmpl w:val="97A4DF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5521A"/>
    <w:multiLevelType w:val="hybridMultilevel"/>
    <w:tmpl w:val="D450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717169"/>
    <w:multiLevelType w:val="hybridMultilevel"/>
    <w:tmpl w:val="2586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1C1050"/>
    <w:multiLevelType w:val="hybridMultilevel"/>
    <w:tmpl w:val="66B8FA96"/>
    <w:lvl w:ilvl="0" w:tplc="D1F2BA6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DC3ECD"/>
    <w:multiLevelType w:val="hybridMultilevel"/>
    <w:tmpl w:val="EB9E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433994"/>
    <w:multiLevelType w:val="hybridMultilevel"/>
    <w:tmpl w:val="481C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F21760"/>
    <w:multiLevelType w:val="hybridMultilevel"/>
    <w:tmpl w:val="FB38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F96D86"/>
    <w:multiLevelType w:val="hybridMultilevel"/>
    <w:tmpl w:val="B25AB3EE"/>
    <w:lvl w:ilvl="0" w:tplc="58D67284">
      <w:numFmt w:val="bullet"/>
      <w:lvlText w:val=""/>
      <w:lvlJc w:val="left"/>
      <w:pPr>
        <w:ind w:left="2160" w:hanging="360"/>
      </w:pPr>
      <w:rPr>
        <w:rFonts w:ascii="Wingdings" w:eastAsia="Calibri" w:hAnsi="Wingdings"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2AB10E73"/>
    <w:multiLevelType w:val="hybridMultilevel"/>
    <w:tmpl w:val="A17C7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2B37C7"/>
    <w:multiLevelType w:val="hybridMultilevel"/>
    <w:tmpl w:val="0400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F06B9F"/>
    <w:multiLevelType w:val="hybridMultilevel"/>
    <w:tmpl w:val="0044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797ED1"/>
    <w:multiLevelType w:val="hybridMultilevel"/>
    <w:tmpl w:val="BA28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9129AF"/>
    <w:multiLevelType w:val="hybridMultilevel"/>
    <w:tmpl w:val="9F9E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7C1C99"/>
    <w:multiLevelType w:val="hybridMultilevel"/>
    <w:tmpl w:val="8CFC4C70"/>
    <w:lvl w:ilvl="0" w:tplc="58D67284">
      <w:numFmt w:val="bullet"/>
      <w:lvlText w:val=""/>
      <w:lvlJc w:val="left"/>
      <w:pPr>
        <w:ind w:left="216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F90206"/>
    <w:multiLevelType w:val="hybridMultilevel"/>
    <w:tmpl w:val="473064D8"/>
    <w:lvl w:ilvl="0" w:tplc="91B0B52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4609BE"/>
    <w:multiLevelType w:val="hybridMultilevel"/>
    <w:tmpl w:val="0284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F2281E"/>
    <w:multiLevelType w:val="hybridMultilevel"/>
    <w:tmpl w:val="84D687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1E7761"/>
    <w:multiLevelType w:val="hybridMultilevel"/>
    <w:tmpl w:val="14485A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405220"/>
    <w:multiLevelType w:val="hybridMultilevel"/>
    <w:tmpl w:val="979A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903CCF"/>
    <w:multiLevelType w:val="hybridMultilevel"/>
    <w:tmpl w:val="3FDC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D807AF"/>
    <w:multiLevelType w:val="hybridMultilevel"/>
    <w:tmpl w:val="DC38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DD6537"/>
    <w:multiLevelType w:val="hybridMultilevel"/>
    <w:tmpl w:val="7B64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A21BDC"/>
    <w:multiLevelType w:val="hybridMultilevel"/>
    <w:tmpl w:val="1402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746065"/>
    <w:multiLevelType w:val="hybridMultilevel"/>
    <w:tmpl w:val="B7D4C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8D797C"/>
    <w:multiLevelType w:val="hybridMultilevel"/>
    <w:tmpl w:val="2168F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84608F"/>
    <w:multiLevelType w:val="hybridMultilevel"/>
    <w:tmpl w:val="535C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5"/>
  </w:num>
  <w:num w:numId="4">
    <w:abstractNumId w:val="9"/>
  </w:num>
  <w:num w:numId="5">
    <w:abstractNumId w:val="14"/>
  </w:num>
  <w:num w:numId="6">
    <w:abstractNumId w:val="18"/>
  </w:num>
  <w:num w:numId="7">
    <w:abstractNumId w:val="24"/>
  </w:num>
  <w:num w:numId="8">
    <w:abstractNumId w:val="27"/>
  </w:num>
  <w:num w:numId="9">
    <w:abstractNumId w:val="10"/>
  </w:num>
  <w:num w:numId="10">
    <w:abstractNumId w:val="12"/>
  </w:num>
  <w:num w:numId="11">
    <w:abstractNumId w:val="31"/>
  </w:num>
  <w:num w:numId="12">
    <w:abstractNumId w:val="30"/>
  </w:num>
  <w:num w:numId="13">
    <w:abstractNumId w:val="29"/>
  </w:num>
  <w:num w:numId="14">
    <w:abstractNumId w:val="8"/>
  </w:num>
  <w:num w:numId="15">
    <w:abstractNumId w:val="1"/>
  </w:num>
  <w:num w:numId="16">
    <w:abstractNumId w:val="20"/>
  </w:num>
  <w:num w:numId="17">
    <w:abstractNumId w:val="13"/>
  </w:num>
  <w:num w:numId="18">
    <w:abstractNumId w:val="19"/>
  </w:num>
  <w:num w:numId="19">
    <w:abstractNumId w:val="16"/>
  </w:num>
  <w:num w:numId="20">
    <w:abstractNumId w:val="26"/>
  </w:num>
  <w:num w:numId="21">
    <w:abstractNumId w:val="28"/>
  </w:num>
  <w:num w:numId="22">
    <w:abstractNumId w:val="2"/>
  </w:num>
  <w:num w:numId="23">
    <w:abstractNumId w:val="7"/>
  </w:num>
  <w:num w:numId="24">
    <w:abstractNumId w:val="11"/>
  </w:num>
  <w:num w:numId="25">
    <w:abstractNumId w:val="21"/>
  </w:num>
  <w:num w:numId="26">
    <w:abstractNumId w:val="3"/>
  </w:num>
  <w:num w:numId="27">
    <w:abstractNumId w:val="15"/>
  </w:num>
  <w:num w:numId="28">
    <w:abstractNumId w:val="4"/>
  </w:num>
  <w:num w:numId="29">
    <w:abstractNumId w:val="17"/>
  </w:num>
  <w:num w:numId="30">
    <w:abstractNumId w:val="0"/>
  </w:num>
  <w:num w:numId="31">
    <w:abstractNumId w:val="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FD"/>
    <w:rsid w:val="00001E65"/>
    <w:rsid w:val="0000451C"/>
    <w:rsid w:val="000124B2"/>
    <w:rsid w:val="0001438B"/>
    <w:rsid w:val="00015B1B"/>
    <w:rsid w:val="00024604"/>
    <w:rsid w:val="000268B0"/>
    <w:rsid w:val="0003384A"/>
    <w:rsid w:val="00035695"/>
    <w:rsid w:val="00035783"/>
    <w:rsid w:val="000405AC"/>
    <w:rsid w:val="0004172D"/>
    <w:rsid w:val="00042BBB"/>
    <w:rsid w:val="0007292A"/>
    <w:rsid w:val="00092597"/>
    <w:rsid w:val="000A6019"/>
    <w:rsid w:val="000A6580"/>
    <w:rsid w:val="000A7144"/>
    <w:rsid w:val="000B265B"/>
    <w:rsid w:val="000C54A6"/>
    <w:rsid w:val="000D3414"/>
    <w:rsid w:val="000D57AD"/>
    <w:rsid w:val="000E5BBB"/>
    <w:rsid w:val="00103085"/>
    <w:rsid w:val="00111E94"/>
    <w:rsid w:val="001201CC"/>
    <w:rsid w:val="00127CE2"/>
    <w:rsid w:val="0013072D"/>
    <w:rsid w:val="00144D16"/>
    <w:rsid w:val="00153870"/>
    <w:rsid w:val="00153A64"/>
    <w:rsid w:val="0015520A"/>
    <w:rsid w:val="00160743"/>
    <w:rsid w:val="00160B30"/>
    <w:rsid w:val="00177185"/>
    <w:rsid w:val="00192292"/>
    <w:rsid w:val="00193848"/>
    <w:rsid w:val="00194F60"/>
    <w:rsid w:val="001975A4"/>
    <w:rsid w:val="001A0D32"/>
    <w:rsid w:val="001A23C1"/>
    <w:rsid w:val="001B0CBE"/>
    <w:rsid w:val="001B14B6"/>
    <w:rsid w:val="001B38F9"/>
    <w:rsid w:val="001C1D80"/>
    <w:rsid w:val="001D21B7"/>
    <w:rsid w:val="001E4443"/>
    <w:rsid w:val="001F7CE1"/>
    <w:rsid w:val="00201927"/>
    <w:rsid w:val="002105A2"/>
    <w:rsid w:val="00213276"/>
    <w:rsid w:val="002214D2"/>
    <w:rsid w:val="00224972"/>
    <w:rsid w:val="00230D09"/>
    <w:rsid w:val="00233442"/>
    <w:rsid w:val="00234D9A"/>
    <w:rsid w:val="00247A7A"/>
    <w:rsid w:val="002500F8"/>
    <w:rsid w:val="0025085B"/>
    <w:rsid w:val="002510D5"/>
    <w:rsid w:val="00264122"/>
    <w:rsid w:val="00266AC9"/>
    <w:rsid w:val="00275AB0"/>
    <w:rsid w:val="002933A9"/>
    <w:rsid w:val="00295DAF"/>
    <w:rsid w:val="002965F6"/>
    <w:rsid w:val="0029661C"/>
    <w:rsid w:val="002B674C"/>
    <w:rsid w:val="002D26FA"/>
    <w:rsid w:val="002D45AF"/>
    <w:rsid w:val="002D5376"/>
    <w:rsid w:val="002D5E28"/>
    <w:rsid w:val="002D660C"/>
    <w:rsid w:val="002F1FF4"/>
    <w:rsid w:val="002F3512"/>
    <w:rsid w:val="002F5A0A"/>
    <w:rsid w:val="003000B5"/>
    <w:rsid w:val="00302B31"/>
    <w:rsid w:val="003078D2"/>
    <w:rsid w:val="00314E3B"/>
    <w:rsid w:val="0032267E"/>
    <w:rsid w:val="00324A46"/>
    <w:rsid w:val="00327E23"/>
    <w:rsid w:val="00334D2C"/>
    <w:rsid w:val="00340E18"/>
    <w:rsid w:val="00350C5B"/>
    <w:rsid w:val="003628CE"/>
    <w:rsid w:val="003748E2"/>
    <w:rsid w:val="003751D2"/>
    <w:rsid w:val="003753A1"/>
    <w:rsid w:val="0038412B"/>
    <w:rsid w:val="00390C81"/>
    <w:rsid w:val="00395C23"/>
    <w:rsid w:val="003A7CCF"/>
    <w:rsid w:val="003C044A"/>
    <w:rsid w:val="003D2117"/>
    <w:rsid w:val="00404336"/>
    <w:rsid w:val="0040664B"/>
    <w:rsid w:val="004103DB"/>
    <w:rsid w:val="0041494D"/>
    <w:rsid w:val="004153B8"/>
    <w:rsid w:val="0042339D"/>
    <w:rsid w:val="00427E65"/>
    <w:rsid w:val="00431078"/>
    <w:rsid w:val="004515A0"/>
    <w:rsid w:val="00454913"/>
    <w:rsid w:val="00456C45"/>
    <w:rsid w:val="00466B81"/>
    <w:rsid w:val="004826F1"/>
    <w:rsid w:val="00491835"/>
    <w:rsid w:val="004975BD"/>
    <w:rsid w:val="004A09D9"/>
    <w:rsid w:val="004B5959"/>
    <w:rsid w:val="004C2819"/>
    <w:rsid w:val="004C4ACE"/>
    <w:rsid w:val="004C6855"/>
    <w:rsid w:val="004D287C"/>
    <w:rsid w:val="004D2B21"/>
    <w:rsid w:val="004D36DD"/>
    <w:rsid w:val="004F4B8A"/>
    <w:rsid w:val="005030DA"/>
    <w:rsid w:val="00505038"/>
    <w:rsid w:val="00507414"/>
    <w:rsid w:val="00527F05"/>
    <w:rsid w:val="00532C77"/>
    <w:rsid w:val="0053382D"/>
    <w:rsid w:val="00536DF6"/>
    <w:rsid w:val="00541CCA"/>
    <w:rsid w:val="00573A63"/>
    <w:rsid w:val="005810F3"/>
    <w:rsid w:val="00585C23"/>
    <w:rsid w:val="00586437"/>
    <w:rsid w:val="00594C71"/>
    <w:rsid w:val="005A5CC3"/>
    <w:rsid w:val="005C636B"/>
    <w:rsid w:val="005C7388"/>
    <w:rsid w:val="005D0B5B"/>
    <w:rsid w:val="005D6828"/>
    <w:rsid w:val="005D7942"/>
    <w:rsid w:val="005E21D0"/>
    <w:rsid w:val="005F217E"/>
    <w:rsid w:val="006046BC"/>
    <w:rsid w:val="00615DF4"/>
    <w:rsid w:val="006230FB"/>
    <w:rsid w:val="00627AC3"/>
    <w:rsid w:val="006316F5"/>
    <w:rsid w:val="006410A7"/>
    <w:rsid w:val="00647594"/>
    <w:rsid w:val="006516BF"/>
    <w:rsid w:val="0065340A"/>
    <w:rsid w:val="00655C85"/>
    <w:rsid w:val="00666557"/>
    <w:rsid w:val="00685277"/>
    <w:rsid w:val="006A16EE"/>
    <w:rsid w:val="006B3EF4"/>
    <w:rsid w:val="006B4839"/>
    <w:rsid w:val="006B6D25"/>
    <w:rsid w:val="006C37FE"/>
    <w:rsid w:val="006E53C1"/>
    <w:rsid w:val="006F6EEC"/>
    <w:rsid w:val="006F7A0B"/>
    <w:rsid w:val="007024B8"/>
    <w:rsid w:val="0071063F"/>
    <w:rsid w:val="0071680F"/>
    <w:rsid w:val="00720893"/>
    <w:rsid w:val="0072317F"/>
    <w:rsid w:val="00731266"/>
    <w:rsid w:val="00732770"/>
    <w:rsid w:val="0073393F"/>
    <w:rsid w:val="007471A5"/>
    <w:rsid w:val="00750D0E"/>
    <w:rsid w:val="00753578"/>
    <w:rsid w:val="007726B3"/>
    <w:rsid w:val="00774CBB"/>
    <w:rsid w:val="00783D1A"/>
    <w:rsid w:val="007966DD"/>
    <w:rsid w:val="007969E0"/>
    <w:rsid w:val="007A39AC"/>
    <w:rsid w:val="007B78FE"/>
    <w:rsid w:val="007D4557"/>
    <w:rsid w:val="007D5974"/>
    <w:rsid w:val="007E30FC"/>
    <w:rsid w:val="007E5484"/>
    <w:rsid w:val="007F7140"/>
    <w:rsid w:val="00803E3C"/>
    <w:rsid w:val="00805040"/>
    <w:rsid w:val="00824AF5"/>
    <w:rsid w:val="00831893"/>
    <w:rsid w:val="0083536F"/>
    <w:rsid w:val="00836301"/>
    <w:rsid w:val="00861634"/>
    <w:rsid w:val="008638DE"/>
    <w:rsid w:val="0086443F"/>
    <w:rsid w:val="00872BD8"/>
    <w:rsid w:val="008854BC"/>
    <w:rsid w:val="00893DAE"/>
    <w:rsid w:val="008A593E"/>
    <w:rsid w:val="008A69F2"/>
    <w:rsid w:val="008B38EA"/>
    <w:rsid w:val="008D1A86"/>
    <w:rsid w:val="008E2B0F"/>
    <w:rsid w:val="008E5893"/>
    <w:rsid w:val="00903A81"/>
    <w:rsid w:val="00920D4A"/>
    <w:rsid w:val="0093306F"/>
    <w:rsid w:val="009419E8"/>
    <w:rsid w:val="009455FD"/>
    <w:rsid w:val="00963891"/>
    <w:rsid w:val="00964F79"/>
    <w:rsid w:val="009755D4"/>
    <w:rsid w:val="00981075"/>
    <w:rsid w:val="00982AEA"/>
    <w:rsid w:val="00987208"/>
    <w:rsid w:val="00990105"/>
    <w:rsid w:val="0099339A"/>
    <w:rsid w:val="009A4B5E"/>
    <w:rsid w:val="009A4C9A"/>
    <w:rsid w:val="009A638F"/>
    <w:rsid w:val="009A7679"/>
    <w:rsid w:val="009C0524"/>
    <w:rsid w:val="009C11DB"/>
    <w:rsid w:val="009C6B70"/>
    <w:rsid w:val="009D2829"/>
    <w:rsid w:val="009E3E8C"/>
    <w:rsid w:val="009E5BF3"/>
    <w:rsid w:val="009E6EE4"/>
    <w:rsid w:val="009F6953"/>
    <w:rsid w:val="00A00ADF"/>
    <w:rsid w:val="00A05436"/>
    <w:rsid w:val="00A1261F"/>
    <w:rsid w:val="00A13A33"/>
    <w:rsid w:val="00A13C04"/>
    <w:rsid w:val="00A36222"/>
    <w:rsid w:val="00A5594F"/>
    <w:rsid w:val="00A6031B"/>
    <w:rsid w:val="00A60D19"/>
    <w:rsid w:val="00A66A7A"/>
    <w:rsid w:val="00A726CA"/>
    <w:rsid w:val="00A87383"/>
    <w:rsid w:val="00A9123F"/>
    <w:rsid w:val="00A93D0E"/>
    <w:rsid w:val="00A95319"/>
    <w:rsid w:val="00A95DA1"/>
    <w:rsid w:val="00AA16A9"/>
    <w:rsid w:val="00AA2D9C"/>
    <w:rsid w:val="00AB4C19"/>
    <w:rsid w:val="00AC384E"/>
    <w:rsid w:val="00AC38F7"/>
    <w:rsid w:val="00AC633A"/>
    <w:rsid w:val="00AD20C4"/>
    <w:rsid w:val="00AD3E26"/>
    <w:rsid w:val="00AD7A6B"/>
    <w:rsid w:val="00AF5FD7"/>
    <w:rsid w:val="00AF6BE7"/>
    <w:rsid w:val="00B04C93"/>
    <w:rsid w:val="00B0745B"/>
    <w:rsid w:val="00B078F6"/>
    <w:rsid w:val="00B12C6F"/>
    <w:rsid w:val="00B13C76"/>
    <w:rsid w:val="00B144CF"/>
    <w:rsid w:val="00B217A3"/>
    <w:rsid w:val="00B23B8B"/>
    <w:rsid w:val="00B27043"/>
    <w:rsid w:val="00B42499"/>
    <w:rsid w:val="00B45C7B"/>
    <w:rsid w:val="00B66419"/>
    <w:rsid w:val="00B72F0F"/>
    <w:rsid w:val="00B73958"/>
    <w:rsid w:val="00B773D4"/>
    <w:rsid w:val="00B843DA"/>
    <w:rsid w:val="00B87D04"/>
    <w:rsid w:val="00BA2D38"/>
    <w:rsid w:val="00BA420A"/>
    <w:rsid w:val="00BB0B0F"/>
    <w:rsid w:val="00BB0B72"/>
    <w:rsid w:val="00BB42CF"/>
    <w:rsid w:val="00BC625F"/>
    <w:rsid w:val="00BD41BC"/>
    <w:rsid w:val="00BD6827"/>
    <w:rsid w:val="00BD708C"/>
    <w:rsid w:val="00BE069D"/>
    <w:rsid w:val="00BE2BB3"/>
    <w:rsid w:val="00BE498E"/>
    <w:rsid w:val="00BF07ED"/>
    <w:rsid w:val="00BF5E4B"/>
    <w:rsid w:val="00BF6B19"/>
    <w:rsid w:val="00C04F86"/>
    <w:rsid w:val="00C11908"/>
    <w:rsid w:val="00C12B57"/>
    <w:rsid w:val="00C24E8A"/>
    <w:rsid w:val="00C32B65"/>
    <w:rsid w:val="00C33A20"/>
    <w:rsid w:val="00C50920"/>
    <w:rsid w:val="00C7200C"/>
    <w:rsid w:val="00C851F2"/>
    <w:rsid w:val="00C85A54"/>
    <w:rsid w:val="00C87602"/>
    <w:rsid w:val="00C92E97"/>
    <w:rsid w:val="00CA4C5B"/>
    <w:rsid w:val="00CA5CDD"/>
    <w:rsid w:val="00CA7721"/>
    <w:rsid w:val="00CD0807"/>
    <w:rsid w:val="00CE0A50"/>
    <w:rsid w:val="00CF2586"/>
    <w:rsid w:val="00D00A17"/>
    <w:rsid w:val="00D0148B"/>
    <w:rsid w:val="00D11743"/>
    <w:rsid w:val="00D14172"/>
    <w:rsid w:val="00D1770D"/>
    <w:rsid w:val="00D24117"/>
    <w:rsid w:val="00D24E04"/>
    <w:rsid w:val="00D31F1F"/>
    <w:rsid w:val="00D3350F"/>
    <w:rsid w:val="00D41A78"/>
    <w:rsid w:val="00D4457E"/>
    <w:rsid w:val="00D4561D"/>
    <w:rsid w:val="00D46400"/>
    <w:rsid w:val="00D529C5"/>
    <w:rsid w:val="00D57496"/>
    <w:rsid w:val="00D633AD"/>
    <w:rsid w:val="00D67D66"/>
    <w:rsid w:val="00D71DF8"/>
    <w:rsid w:val="00D7534D"/>
    <w:rsid w:val="00D879B9"/>
    <w:rsid w:val="00D97795"/>
    <w:rsid w:val="00DA2327"/>
    <w:rsid w:val="00DA365D"/>
    <w:rsid w:val="00DA4F81"/>
    <w:rsid w:val="00DB329D"/>
    <w:rsid w:val="00DB5079"/>
    <w:rsid w:val="00DB57BD"/>
    <w:rsid w:val="00DC1FD8"/>
    <w:rsid w:val="00DD1B63"/>
    <w:rsid w:val="00E132DB"/>
    <w:rsid w:val="00E16B84"/>
    <w:rsid w:val="00E256C7"/>
    <w:rsid w:val="00E349DC"/>
    <w:rsid w:val="00E408CD"/>
    <w:rsid w:val="00E50FCF"/>
    <w:rsid w:val="00E52B3B"/>
    <w:rsid w:val="00E672E6"/>
    <w:rsid w:val="00E924BD"/>
    <w:rsid w:val="00E93B45"/>
    <w:rsid w:val="00E9444A"/>
    <w:rsid w:val="00EA113C"/>
    <w:rsid w:val="00EA3438"/>
    <w:rsid w:val="00EA4CA2"/>
    <w:rsid w:val="00EB7CA4"/>
    <w:rsid w:val="00EC16D4"/>
    <w:rsid w:val="00EC313F"/>
    <w:rsid w:val="00ED36C6"/>
    <w:rsid w:val="00ED3E79"/>
    <w:rsid w:val="00ED444D"/>
    <w:rsid w:val="00ED7023"/>
    <w:rsid w:val="00ED7BD8"/>
    <w:rsid w:val="00EF312D"/>
    <w:rsid w:val="00F02CFD"/>
    <w:rsid w:val="00F14ED5"/>
    <w:rsid w:val="00F23AD0"/>
    <w:rsid w:val="00F33DA5"/>
    <w:rsid w:val="00F42DFB"/>
    <w:rsid w:val="00F54328"/>
    <w:rsid w:val="00F601DC"/>
    <w:rsid w:val="00F60531"/>
    <w:rsid w:val="00F676C4"/>
    <w:rsid w:val="00F73C6A"/>
    <w:rsid w:val="00F76465"/>
    <w:rsid w:val="00F8185A"/>
    <w:rsid w:val="00F83338"/>
    <w:rsid w:val="00F86678"/>
    <w:rsid w:val="00FA58AD"/>
    <w:rsid w:val="00FB0A89"/>
    <w:rsid w:val="00FB4B58"/>
    <w:rsid w:val="00FB6097"/>
    <w:rsid w:val="00FC6C03"/>
    <w:rsid w:val="00FD2D8A"/>
    <w:rsid w:val="00FE314E"/>
    <w:rsid w:val="00FE3361"/>
    <w:rsid w:val="00FE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47594"/>
    <w:pPr>
      <w:keepNext/>
      <w:keepLines/>
      <w:spacing w:before="360" w:after="240"/>
      <w:outlineLvl w:val="0"/>
    </w:pPr>
    <w:rPr>
      <w:rFonts w:ascii="Cambria" w:eastAsia="Times New Roman" w:hAnsi="Cambria"/>
      <w:b/>
      <w:bCs/>
      <w:noProof/>
      <w:color w:val="365F91"/>
      <w:sz w:val="36"/>
      <w:szCs w:val="36"/>
      <w:lang w:eastAsia="en-GB"/>
    </w:rPr>
  </w:style>
  <w:style w:type="paragraph" w:styleId="Heading2">
    <w:name w:val="heading 2"/>
    <w:basedOn w:val="Normal"/>
    <w:next w:val="Normal"/>
    <w:link w:val="Heading2Char"/>
    <w:uiPriority w:val="9"/>
    <w:unhideWhenUsed/>
    <w:qFormat/>
    <w:rsid w:val="00A5594F"/>
    <w:pPr>
      <w:keepNext/>
      <w:keepLines/>
      <w:spacing w:before="360" w:after="240"/>
      <w:outlineLvl w:val="1"/>
    </w:pPr>
    <w:rPr>
      <w:rFonts w:ascii="Cambria" w:eastAsia="Times New Roman" w:hAnsi="Cambria"/>
      <w:b/>
      <w:bCs/>
      <w:color w:val="1F497D"/>
      <w:sz w:val="28"/>
      <w:szCs w:val="28"/>
    </w:rPr>
  </w:style>
  <w:style w:type="paragraph" w:styleId="Heading3">
    <w:name w:val="heading 3"/>
    <w:basedOn w:val="Normal"/>
    <w:next w:val="Normal"/>
    <w:link w:val="Heading3Char"/>
    <w:uiPriority w:val="9"/>
    <w:unhideWhenUsed/>
    <w:qFormat/>
    <w:rsid w:val="00BE069D"/>
    <w:pPr>
      <w:keepNext/>
      <w:keepLines/>
      <w:spacing w:before="120" w:after="12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ED3E79"/>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A46"/>
    <w:pPr>
      <w:ind w:left="720"/>
      <w:contextualSpacing/>
    </w:pPr>
  </w:style>
  <w:style w:type="paragraph" w:styleId="Header">
    <w:name w:val="header"/>
    <w:basedOn w:val="Normal"/>
    <w:link w:val="HeaderChar"/>
    <w:uiPriority w:val="99"/>
    <w:unhideWhenUsed/>
    <w:rsid w:val="00AA1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6A9"/>
  </w:style>
  <w:style w:type="paragraph" w:styleId="Footer">
    <w:name w:val="footer"/>
    <w:basedOn w:val="Normal"/>
    <w:link w:val="FooterChar"/>
    <w:uiPriority w:val="99"/>
    <w:unhideWhenUsed/>
    <w:rsid w:val="00AA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6A9"/>
  </w:style>
  <w:style w:type="paragraph" w:styleId="BalloonText">
    <w:name w:val="Balloon Text"/>
    <w:basedOn w:val="Normal"/>
    <w:link w:val="BalloonTextChar"/>
    <w:uiPriority w:val="99"/>
    <w:semiHidden/>
    <w:unhideWhenUsed/>
    <w:rsid w:val="00AA16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6A9"/>
    <w:rPr>
      <w:rFonts w:ascii="Tahoma" w:hAnsi="Tahoma" w:cs="Tahoma"/>
      <w:sz w:val="16"/>
      <w:szCs w:val="16"/>
    </w:rPr>
  </w:style>
  <w:style w:type="paragraph" w:customStyle="1" w:styleId="Explanation">
    <w:name w:val="Explanation"/>
    <w:basedOn w:val="ListParagraph"/>
    <w:qFormat/>
    <w:rsid w:val="00AD20C4"/>
    <w:pPr>
      <w:pBdr>
        <w:top w:val="single" w:sz="4" w:space="1" w:color="auto"/>
        <w:left w:val="single" w:sz="4" w:space="4" w:color="auto"/>
        <w:bottom w:val="single" w:sz="4" w:space="1" w:color="auto"/>
        <w:right w:val="single" w:sz="4" w:space="4" w:color="auto"/>
      </w:pBdr>
      <w:spacing w:line="240" w:lineRule="auto"/>
      <w:ind w:left="1134"/>
    </w:pPr>
  </w:style>
  <w:style w:type="character" w:customStyle="1" w:styleId="Heading1Char">
    <w:name w:val="Heading 1 Char"/>
    <w:link w:val="Heading1"/>
    <w:uiPriority w:val="9"/>
    <w:rsid w:val="00647594"/>
    <w:rPr>
      <w:rFonts w:ascii="Cambria" w:eastAsia="Times New Roman" w:hAnsi="Cambria"/>
      <w:b/>
      <w:bCs/>
      <w:noProof/>
      <w:color w:val="365F91"/>
      <w:sz w:val="36"/>
      <w:szCs w:val="36"/>
    </w:rPr>
  </w:style>
  <w:style w:type="character" w:customStyle="1" w:styleId="Heading2Char">
    <w:name w:val="Heading 2 Char"/>
    <w:link w:val="Heading2"/>
    <w:uiPriority w:val="9"/>
    <w:rsid w:val="00A5594F"/>
    <w:rPr>
      <w:rFonts w:ascii="Cambria" w:eastAsia="Times New Roman" w:hAnsi="Cambria"/>
      <w:b/>
      <w:bCs/>
      <w:color w:val="1F497D"/>
      <w:sz w:val="28"/>
      <w:szCs w:val="28"/>
      <w:lang w:eastAsia="en-US"/>
    </w:rPr>
  </w:style>
  <w:style w:type="paragraph" w:styleId="FootnoteText">
    <w:name w:val="footnote text"/>
    <w:basedOn w:val="Normal"/>
    <w:link w:val="FootnoteTextChar"/>
    <w:uiPriority w:val="99"/>
    <w:semiHidden/>
    <w:unhideWhenUsed/>
    <w:rsid w:val="007726B3"/>
    <w:pPr>
      <w:spacing w:after="0" w:line="240" w:lineRule="auto"/>
    </w:pPr>
    <w:rPr>
      <w:sz w:val="20"/>
      <w:szCs w:val="20"/>
    </w:rPr>
  </w:style>
  <w:style w:type="character" w:customStyle="1" w:styleId="FootnoteTextChar">
    <w:name w:val="Footnote Text Char"/>
    <w:link w:val="FootnoteText"/>
    <w:uiPriority w:val="99"/>
    <w:semiHidden/>
    <w:rsid w:val="007726B3"/>
    <w:rPr>
      <w:sz w:val="20"/>
      <w:szCs w:val="20"/>
    </w:rPr>
  </w:style>
  <w:style w:type="character" w:styleId="FootnoteReference">
    <w:name w:val="footnote reference"/>
    <w:uiPriority w:val="99"/>
    <w:semiHidden/>
    <w:unhideWhenUsed/>
    <w:rsid w:val="007726B3"/>
    <w:rPr>
      <w:vertAlign w:val="superscript"/>
    </w:rPr>
  </w:style>
  <w:style w:type="paragraph" w:styleId="EndnoteText">
    <w:name w:val="endnote text"/>
    <w:basedOn w:val="Normal"/>
    <w:link w:val="EndnoteTextChar"/>
    <w:uiPriority w:val="99"/>
    <w:semiHidden/>
    <w:unhideWhenUsed/>
    <w:rsid w:val="007726B3"/>
    <w:pPr>
      <w:spacing w:after="0" w:line="240" w:lineRule="auto"/>
    </w:pPr>
    <w:rPr>
      <w:sz w:val="20"/>
      <w:szCs w:val="20"/>
    </w:rPr>
  </w:style>
  <w:style w:type="character" w:customStyle="1" w:styleId="EndnoteTextChar">
    <w:name w:val="Endnote Text Char"/>
    <w:link w:val="EndnoteText"/>
    <w:uiPriority w:val="99"/>
    <w:semiHidden/>
    <w:rsid w:val="007726B3"/>
    <w:rPr>
      <w:sz w:val="20"/>
      <w:szCs w:val="20"/>
    </w:rPr>
  </w:style>
  <w:style w:type="character" w:styleId="EndnoteReference">
    <w:name w:val="endnote reference"/>
    <w:uiPriority w:val="99"/>
    <w:semiHidden/>
    <w:unhideWhenUsed/>
    <w:rsid w:val="007726B3"/>
    <w:rPr>
      <w:vertAlign w:val="superscript"/>
    </w:rPr>
  </w:style>
  <w:style w:type="character" w:customStyle="1" w:styleId="Heading3Char">
    <w:name w:val="Heading 3 Char"/>
    <w:link w:val="Heading3"/>
    <w:uiPriority w:val="9"/>
    <w:rsid w:val="00BE069D"/>
    <w:rPr>
      <w:rFonts w:ascii="Cambria" w:eastAsia="Times New Roman" w:hAnsi="Cambria" w:cs="Times New Roman"/>
      <w:b/>
      <w:bCs/>
      <w:color w:val="4F81BD"/>
    </w:rPr>
  </w:style>
  <w:style w:type="character" w:customStyle="1" w:styleId="Heading4Char">
    <w:name w:val="Heading 4 Char"/>
    <w:link w:val="Heading4"/>
    <w:uiPriority w:val="9"/>
    <w:rsid w:val="00ED3E79"/>
    <w:rPr>
      <w:rFonts w:ascii="Cambria" w:eastAsia="Times New Roman" w:hAnsi="Cambria" w:cs="Times New Roman"/>
      <w:b/>
      <w:bCs/>
      <w:i/>
      <w:iCs/>
      <w:color w:val="4F81BD"/>
    </w:rPr>
  </w:style>
  <w:style w:type="character" w:styleId="Hyperlink">
    <w:name w:val="Hyperlink"/>
    <w:uiPriority w:val="99"/>
    <w:unhideWhenUsed/>
    <w:rsid w:val="004A09D9"/>
    <w:rPr>
      <w:color w:val="0000FF"/>
      <w:u w:val="single"/>
    </w:rPr>
  </w:style>
  <w:style w:type="character" w:styleId="Strong">
    <w:name w:val="Strong"/>
    <w:uiPriority w:val="22"/>
    <w:rsid w:val="004C2819"/>
    <w:rPr>
      <w:b/>
      <w:bCs/>
    </w:rPr>
  </w:style>
  <w:style w:type="paragraph" w:customStyle="1" w:styleId="Default">
    <w:name w:val="Default"/>
    <w:rsid w:val="0071063F"/>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9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Normal"/>
    <w:qFormat/>
    <w:rsid w:val="00BE498E"/>
    <w:rPr>
      <w:rFonts w:eastAsia="Times New Roman"/>
      <w:b/>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47594"/>
    <w:pPr>
      <w:keepNext/>
      <w:keepLines/>
      <w:spacing w:before="360" w:after="240"/>
      <w:outlineLvl w:val="0"/>
    </w:pPr>
    <w:rPr>
      <w:rFonts w:ascii="Cambria" w:eastAsia="Times New Roman" w:hAnsi="Cambria"/>
      <w:b/>
      <w:bCs/>
      <w:noProof/>
      <w:color w:val="365F91"/>
      <w:sz w:val="36"/>
      <w:szCs w:val="36"/>
      <w:lang w:eastAsia="en-GB"/>
    </w:rPr>
  </w:style>
  <w:style w:type="paragraph" w:styleId="Heading2">
    <w:name w:val="heading 2"/>
    <w:basedOn w:val="Normal"/>
    <w:next w:val="Normal"/>
    <w:link w:val="Heading2Char"/>
    <w:uiPriority w:val="9"/>
    <w:unhideWhenUsed/>
    <w:qFormat/>
    <w:rsid w:val="00A5594F"/>
    <w:pPr>
      <w:keepNext/>
      <w:keepLines/>
      <w:spacing w:before="360" w:after="240"/>
      <w:outlineLvl w:val="1"/>
    </w:pPr>
    <w:rPr>
      <w:rFonts w:ascii="Cambria" w:eastAsia="Times New Roman" w:hAnsi="Cambria"/>
      <w:b/>
      <w:bCs/>
      <w:color w:val="1F497D"/>
      <w:sz w:val="28"/>
      <w:szCs w:val="28"/>
    </w:rPr>
  </w:style>
  <w:style w:type="paragraph" w:styleId="Heading3">
    <w:name w:val="heading 3"/>
    <w:basedOn w:val="Normal"/>
    <w:next w:val="Normal"/>
    <w:link w:val="Heading3Char"/>
    <w:uiPriority w:val="9"/>
    <w:unhideWhenUsed/>
    <w:qFormat/>
    <w:rsid w:val="00BE069D"/>
    <w:pPr>
      <w:keepNext/>
      <w:keepLines/>
      <w:spacing w:before="120" w:after="12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ED3E79"/>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A46"/>
    <w:pPr>
      <w:ind w:left="720"/>
      <w:contextualSpacing/>
    </w:pPr>
  </w:style>
  <w:style w:type="paragraph" w:styleId="Header">
    <w:name w:val="header"/>
    <w:basedOn w:val="Normal"/>
    <w:link w:val="HeaderChar"/>
    <w:uiPriority w:val="99"/>
    <w:unhideWhenUsed/>
    <w:rsid w:val="00AA1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6A9"/>
  </w:style>
  <w:style w:type="paragraph" w:styleId="Footer">
    <w:name w:val="footer"/>
    <w:basedOn w:val="Normal"/>
    <w:link w:val="FooterChar"/>
    <w:uiPriority w:val="99"/>
    <w:unhideWhenUsed/>
    <w:rsid w:val="00AA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6A9"/>
  </w:style>
  <w:style w:type="paragraph" w:styleId="BalloonText">
    <w:name w:val="Balloon Text"/>
    <w:basedOn w:val="Normal"/>
    <w:link w:val="BalloonTextChar"/>
    <w:uiPriority w:val="99"/>
    <w:semiHidden/>
    <w:unhideWhenUsed/>
    <w:rsid w:val="00AA16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6A9"/>
    <w:rPr>
      <w:rFonts w:ascii="Tahoma" w:hAnsi="Tahoma" w:cs="Tahoma"/>
      <w:sz w:val="16"/>
      <w:szCs w:val="16"/>
    </w:rPr>
  </w:style>
  <w:style w:type="paragraph" w:customStyle="1" w:styleId="Explanation">
    <w:name w:val="Explanation"/>
    <w:basedOn w:val="ListParagraph"/>
    <w:qFormat/>
    <w:rsid w:val="00AD20C4"/>
    <w:pPr>
      <w:pBdr>
        <w:top w:val="single" w:sz="4" w:space="1" w:color="auto"/>
        <w:left w:val="single" w:sz="4" w:space="4" w:color="auto"/>
        <w:bottom w:val="single" w:sz="4" w:space="1" w:color="auto"/>
        <w:right w:val="single" w:sz="4" w:space="4" w:color="auto"/>
      </w:pBdr>
      <w:spacing w:line="240" w:lineRule="auto"/>
      <w:ind w:left="1134"/>
    </w:pPr>
  </w:style>
  <w:style w:type="character" w:customStyle="1" w:styleId="Heading1Char">
    <w:name w:val="Heading 1 Char"/>
    <w:link w:val="Heading1"/>
    <w:uiPriority w:val="9"/>
    <w:rsid w:val="00647594"/>
    <w:rPr>
      <w:rFonts w:ascii="Cambria" w:eastAsia="Times New Roman" w:hAnsi="Cambria"/>
      <w:b/>
      <w:bCs/>
      <w:noProof/>
      <w:color w:val="365F91"/>
      <w:sz w:val="36"/>
      <w:szCs w:val="36"/>
    </w:rPr>
  </w:style>
  <w:style w:type="character" w:customStyle="1" w:styleId="Heading2Char">
    <w:name w:val="Heading 2 Char"/>
    <w:link w:val="Heading2"/>
    <w:uiPriority w:val="9"/>
    <w:rsid w:val="00A5594F"/>
    <w:rPr>
      <w:rFonts w:ascii="Cambria" w:eastAsia="Times New Roman" w:hAnsi="Cambria"/>
      <w:b/>
      <w:bCs/>
      <w:color w:val="1F497D"/>
      <w:sz w:val="28"/>
      <w:szCs w:val="28"/>
      <w:lang w:eastAsia="en-US"/>
    </w:rPr>
  </w:style>
  <w:style w:type="paragraph" w:styleId="FootnoteText">
    <w:name w:val="footnote text"/>
    <w:basedOn w:val="Normal"/>
    <w:link w:val="FootnoteTextChar"/>
    <w:uiPriority w:val="99"/>
    <w:semiHidden/>
    <w:unhideWhenUsed/>
    <w:rsid w:val="007726B3"/>
    <w:pPr>
      <w:spacing w:after="0" w:line="240" w:lineRule="auto"/>
    </w:pPr>
    <w:rPr>
      <w:sz w:val="20"/>
      <w:szCs w:val="20"/>
    </w:rPr>
  </w:style>
  <w:style w:type="character" w:customStyle="1" w:styleId="FootnoteTextChar">
    <w:name w:val="Footnote Text Char"/>
    <w:link w:val="FootnoteText"/>
    <w:uiPriority w:val="99"/>
    <w:semiHidden/>
    <w:rsid w:val="007726B3"/>
    <w:rPr>
      <w:sz w:val="20"/>
      <w:szCs w:val="20"/>
    </w:rPr>
  </w:style>
  <w:style w:type="character" w:styleId="FootnoteReference">
    <w:name w:val="footnote reference"/>
    <w:uiPriority w:val="99"/>
    <w:semiHidden/>
    <w:unhideWhenUsed/>
    <w:rsid w:val="007726B3"/>
    <w:rPr>
      <w:vertAlign w:val="superscript"/>
    </w:rPr>
  </w:style>
  <w:style w:type="paragraph" w:styleId="EndnoteText">
    <w:name w:val="endnote text"/>
    <w:basedOn w:val="Normal"/>
    <w:link w:val="EndnoteTextChar"/>
    <w:uiPriority w:val="99"/>
    <w:semiHidden/>
    <w:unhideWhenUsed/>
    <w:rsid w:val="007726B3"/>
    <w:pPr>
      <w:spacing w:after="0" w:line="240" w:lineRule="auto"/>
    </w:pPr>
    <w:rPr>
      <w:sz w:val="20"/>
      <w:szCs w:val="20"/>
    </w:rPr>
  </w:style>
  <w:style w:type="character" w:customStyle="1" w:styleId="EndnoteTextChar">
    <w:name w:val="Endnote Text Char"/>
    <w:link w:val="EndnoteText"/>
    <w:uiPriority w:val="99"/>
    <w:semiHidden/>
    <w:rsid w:val="007726B3"/>
    <w:rPr>
      <w:sz w:val="20"/>
      <w:szCs w:val="20"/>
    </w:rPr>
  </w:style>
  <w:style w:type="character" w:styleId="EndnoteReference">
    <w:name w:val="endnote reference"/>
    <w:uiPriority w:val="99"/>
    <w:semiHidden/>
    <w:unhideWhenUsed/>
    <w:rsid w:val="007726B3"/>
    <w:rPr>
      <w:vertAlign w:val="superscript"/>
    </w:rPr>
  </w:style>
  <w:style w:type="character" w:customStyle="1" w:styleId="Heading3Char">
    <w:name w:val="Heading 3 Char"/>
    <w:link w:val="Heading3"/>
    <w:uiPriority w:val="9"/>
    <w:rsid w:val="00BE069D"/>
    <w:rPr>
      <w:rFonts w:ascii="Cambria" w:eastAsia="Times New Roman" w:hAnsi="Cambria" w:cs="Times New Roman"/>
      <w:b/>
      <w:bCs/>
      <w:color w:val="4F81BD"/>
    </w:rPr>
  </w:style>
  <w:style w:type="character" w:customStyle="1" w:styleId="Heading4Char">
    <w:name w:val="Heading 4 Char"/>
    <w:link w:val="Heading4"/>
    <w:uiPriority w:val="9"/>
    <w:rsid w:val="00ED3E79"/>
    <w:rPr>
      <w:rFonts w:ascii="Cambria" w:eastAsia="Times New Roman" w:hAnsi="Cambria" w:cs="Times New Roman"/>
      <w:b/>
      <w:bCs/>
      <w:i/>
      <w:iCs/>
      <w:color w:val="4F81BD"/>
    </w:rPr>
  </w:style>
  <w:style w:type="character" w:styleId="Hyperlink">
    <w:name w:val="Hyperlink"/>
    <w:uiPriority w:val="99"/>
    <w:unhideWhenUsed/>
    <w:rsid w:val="004A09D9"/>
    <w:rPr>
      <w:color w:val="0000FF"/>
      <w:u w:val="single"/>
    </w:rPr>
  </w:style>
  <w:style w:type="character" w:styleId="Strong">
    <w:name w:val="Strong"/>
    <w:uiPriority w:val="22"/>
    <w:rsid w:val="004C2819"/>
    <w:rPr>
      <w:b/>
      <w:bCs/>
    </w:rPr>
  </w:style>
  <w:style w:type="paragraph" w:customStyle="1" w:styleId="Default">
    <w:name w:val="Default"/>
    <w:rsid w:val="0071063F"/>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9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Normal"/>
    <w:qFormat/>
    <w:rsid w:val="00BE498E"/>
    <w:rPr>
      <w:rFonts w:eastAsia="Times New Roman"/>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67521">
      <w:bodyDiv w:val="1"/>
      <w:marLeft w:val="0"/>
      <w:marRight w:val="0"/>
      <w:marTop w:val="0"/>
      <w:marBottom w:val="0"/>
      <w:divBdr>
        <w:top w:val="none" w:sz="0" w:space="0" w:color="auto"/>
        <w:left w:val="none" w:sz="0" w:space="0" w:color="auto"/>
        <w:bottom w:val="none" w:sz="0" w:space="0" w:color="auto"/>
        <w:right w:val="none" w:sz="0" w:space="0" w:color="auto"/>
      </w:divBdr>
    </w:div>
    <w:div w:id="5297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hnetwork.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vid.gibbens@ehnetwork.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co.org.uk/Research/Publications/Office-to-residential_conversion.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ondoncouncils.gov.uk/our-key-themes/housing-and-planning/permitted-development-righ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cotland.shelter.org.uk/empty_homes/annual_reports" TargetMode="External"/><Relationship Id="rId2" Type="http://schemas.openxmlformats.org/officeDocument/2006/relationships/hyperlink" Target="https://www.nue.org.uk/" TargetMode="External"/><Relationship Id="rId1" Type="http://schemas.openxmlformats.org/officeDocument/2006/relationships/hyperlink" Target="https://www.nue.org.uk/newsletter-edition-no-8-10-years/" TargetMode="External"/><Relationship Id="rId4" Type="http://schemas.openxmlformats.org/officeDocument/2006/relationships/hyperlink" Target="http://gov.wales/statistics-and-research/houses-into-home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8E3C8-7D23-4B26-B5CD-FE35EBA0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5</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11717</CharactersWithSpaces>
  <SharedDoc>false</SharedDoc>
  <HLinks>
    <vt:vector size="12" baseType="variant">
      <vt:variant>
        <vt:i4>131137</vt:i4>
      </vt:variant>
      <vt:variant>
        <vt:i4>3</vt:i4>
      </vt:variant>
      <vt:variant>
        <vt:i4>0</vt:i4>
      </vt:variant>
      <vt:variant>
        <vt:i4>5</vt:i4>
      </vt:variant>
      <vt:variant>
        <vt:lpwstr>http://www.ehnetwork.org.uk/</vt:lpwstr>
      </vt:variant>
      <vt:variant>
        <vt:lpwstr/>
      </vt:variant>
      <vt:variant>
        <vt:i4>65587</vt:i4>
      </vt:variant>
      <vt:variant>
        <vt:i4>0</vt:i4>
      </vt:variant>
      <vt:variant>
        <vt:i4>0</vt:i4>
      </vt:variant>
      <vt:variant>
        <vt:i4>5</vt:i4>
      </vt:variant>
      <vt:variant>
        <vt:lpwstr>mailto:david.gibbens@ehnetwork.org.uk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Gibbens</dc:creator>
  <cp:lastModifiedBy>David Gibbens</cp:lastModifiedBy>
  <cp:revision>6</cp:revision>
  <cp:lastPrinted>2014-02-17T16:16:00Z</cp:lastPrinted>
  <dcterms:created xsi:type="dcterms:W3CDTF">2016-08-28T16:59:00Z</dcterms:created>
  <dcterms:modified xsi:type="dcterms:W3CDTF">2016-08-29T11:05:00Z</dcterms:modified>
</cp:coreProperties>
</file>